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sz w:val="84"/>
          <w:szCs w:val="84"/>
        </w:rPr>
      </w:pPr>
      <w:r>
        <w:rPr>
          <w:rFonts w:hint="eastAsia"/>
          <w:sz w:val="84"/>
          <w:szCs w:val="84"/>
        </w:rPr>
        <w:t>202</w:t>
      </w:r>
      <w:r>
        <w:rPr>
          <w:rFonts w:hint="eastAsia"/>
          <w:sz w:val="84"/>
          <w:szCs w:val="84"/>
          <w:lang w:val="en-US" w:eastAsia="zh-CN"/>
        </w:rPr>
        <w:t>1</w:t>
      </w:r>
      <w:r>
        <w:rPr>
          <w:rFonts w:hint="eastAsia"/>
          <w:sz w:val="84"/>
          <w:szCs w:val="84"/>
        </w:rPr>
        <w:t>年度</w:t>
      </w:r>
    </w:p>
    <w:p>
      <w:pPr>
        <w:pStyle w:val="15"/>
        <w:jc w:val="center"/>
        <w:rPr>
          <w:sz w:val="84"/>
          <w:szCs w:val="84"/>
        </w:rPr>
      </w:pPr>
      <w:r>
        <w:rPr>
          <w:rFonts w:hint="eastAsia"/>
          <w:sz w:val="84"/>
          <w:szCs w:val="84"/>
        </w:rPr>
        <w:t>湖南省科学技术信息研究所</w:t>
      </w:r>
    </w:p>
    <w:p>
      <w:pPr>
        <w:pStyle w:val="15"/>
        <w:jc w:val="center"/>
        <w:rPr>
          <w:sz w:val="84"/>
          <w:szCs w:val="84"/>
        </w:rPr>
      </w:pPr>
      <w:r>
        <w:rPr>
          <w:rFonts w:hint="eastAsia"/>
          <w:sz w:val="84"/>
          <w:szCs w:val="84"/>
        </w:rPr>
        <w:t>部门决算</w:t>
      </w: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rFonts w:hAnsi="黑体"/>
          <w:color w:val="auto"/>
          <w:sz w:val="44"/>
          <w:szCs w:val="44"/>
          <w:lang w:bidi="ar"/>
        </w:rPr>
      </w:pPr>
      <w:r>
        <w:rPr>
          <w:rFonts w:hint="eastAsia" w:hAnsi="黑体"/>
          <w:color w:val="auto"/>
          <w:sz w:val="44"/>
          <w:szCs w:val="44"/>
          <w:lang w:bidi="ar"/>
        </w:rPr>
        <w:t>目录</w:t>
      </w:r>
    </w:p>
    <w:p>
      <w:pPr>
        <w:pStyle w:val="15"/>
        <w:spacing w:line="500" w:lineRule="exact"/>
        <w:rPr>
          <w:b/>
          <w:sz w:val="28"/>
          <w:szCs w:val="28"/>
        </w:rPr>
      </w:pPr>
      <w:r>
        <w:rPr>
          <w:rFonts w:hint="eastAsia"/>
          <w:b/>
          <w:sz w:val="28"/>
          <w:szCs w:val="28"/>
        </w:rPr>
        <w:t>第一部分湖南省科学技术信息研究所概况</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5"/>
        <w:spacing w:line="500" w:lineRule="exact"/>
        <w:rPr>
          <w:b/>
          <w:sz w:val="28"/>
          <w:szCs w:val="28"/>
        </w:rPr>
      </w:pPr>
      <w:r>
        <w:rPr>
          <w:rFonts w:hint="eastAsia"/>
          <w:b/>
          <w:sz w:val="28"/>
          <w:szCs w:val="28"/>
        </w:rPr>
        <w:t>第二部分202</w:t>
      </w:r>
      <w:r>
        <w:rPr>
          <w:rFonts w:hint="eastAsia"/>
          <w:b/>
          <w:sz w:val="28"/>
          <w:szCs w:val="28"/>
          <w:lang w:val="en-US" w:eastAsia="zh-CN"/>
        </w:rPr>
        <w:t>1</w:t>
      </w:r>
      <w:r>
        <w:rPr>
          <w:rFonts w:hint="eastAsia"/>
          <w:b/>
          <w:sz w:val="28"/>
          <w:szCs w:val="28"/>
        </w:rPr>
        <w:t>年度部门决算表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5"/>
        <w:spacing w:line="48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5"/>
        <w:spacing w:line="500" w:lineRule="exact"/>
        <w:rPr>
          <w:b/>
          <w:sz w:val="28"/>
          <w:szCs w:val="28"/>
        </w:rPr>
      </w:pPr>
      <w:r>
        <w:rPr>
          <w:rFonts w:hint="eastAsia"/>
          <w:b/>
          <w:sz w:val="28"/>
          <w:szCs w:val="28"/>
        </w:rPr>
        <w:t>第三部分202</w:t>
      </w:r>
      <w:r>
        <w:rPr>
          <w:rFonts w:hint="eastAsia"/>
          <w:b/>
          <w:sz w:val="28"/>
          <w:szCs w:val="28"/>
          <w:lang w:val="en-US" w:eastAsia="zh-CN"/>
        </w:rPr>
        <w:t>1</w:t>
      </w:r>
      <w:r>
        <w:rPr>
          <w:rFonts w:hint="eastAsia"/>
          <w:b/>
          <w:sz w:val="28"/>
          <w:szCs w:val="28"/>
        </w:rPr>
        <w:t>年度部门决算情况说明</w:t>
      </w:r>
    </w:p>
    <w:p>
      <w:pPr>
        <w:pStyle w:val="15"/>
        <w:spacing w:line="48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48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48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5"/>
        <w:spacing w:line="48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5"/>
        <w:spacing w:line="48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年</w:t>
      </w:r>
      <w:r>
        <w:rPr>
          <w:rFonts w:hint="eastAsia" w:ascii="仿宋_GB2312" w:hAnsi="仿宋_GB2312" w:cs="仿宋_GB2312" w:eastAsiaTheme="minorEastAsia"/>
          <w:sz w:val="28"/>
          <w:szCs w:val="28"/>
        </w:rPr>
        <w:t>度预算绩效情况的说明</w:t>
      </w:r>
    </w:p>
    <w:p>
      <w:pPr>
        <w:autoSpaceDE w:val="0"/>
        <w:autoSpaceDN w:val="0"/>
        <w:adjustRightInd w:val="0"/>
        <w:spacing w:line="480" w:lineRule="exact"/>
        <w:jc w:val="left"/>
        <w:rPr>
          <w:rFonts w:ascii="黑体" w:eastAsia="黑体" w:cs="黑体"/>
          <w:b/>
          <w:color w:val="000000"/>
          <w:kern w:val="0"/>
          <w:sz w:val="28"/>
          <w:szCs w:val="28"/>
        </w:rPr>
      </w:pPr>
      <w:r>
        <w:rPr>
          <w:rFonts w:hint="eastAsia" w:ascii="黑体" w:eastAsia="黑体" w:cs="黑体"/>
          <w:b/>
          <w:color w:val="000000"/>
          <w:kern w:val="0"/>
          <w:sz w:val="28"/>
          <w:szCs w:val="28"/>
        </w:rPr>
        <w:t>第四部分名词解释</w:t>
      </w:r>
    </w:p>
    <w:p>
      <w:pPr>
        <w:jc w:val="center"/>
        <w:rPr>
          <w:sz w:val="72"/>
          <w:szCs w:val="72"/>
        </w:rPr>
      </w:pPr>
    </w:p>
    <w:p>
      <w:pPr>
        <w:jc w:val="center"/>
        <w:rPr>
          <w:sz w:val="72"/>
          <w:szCs w:val="72"/>
        </w:rPr>
      </w:pPr>
    </w:p>
    <w:p>
      <w:pPr>
        <w:jc w:val="center"/>
        <w:rPr>
          <w:sz w:val="72"/>
          <w:szCs w:val="72"/>
        </w:rPr>
      </w:pPr>
    </w:p>
    <w:p>
      <w:pPr>
        <w:rPr>
          <w:sz w:val="72"/>
          <w:szCs w:val="72"/>
        </w:rPr>
      </w:pPr>
    </w:p>
    <w:p>
      <w:pPr>
        <w:pStyle w:val="15"/>
        <w:jc w:val="center"/>
        <w:rPr>
          <w:sz w:val="84"/>
          <w:szCs w:val="84"/>
        </w:rPr>
      </w:pPr>
      <w:r>
        <w:rPr>
          <w:rFonts w:hint="eastAsia"/>
          <w:sz w:val="84"/>
          <w:szCs w:val="84"/>
        </w:rPr>
        <w:t>第一部分</w:t>
      </w:r>
      <w:r>
        <w:rPr>
          <w:sz w:val="84"/>
          <w:szCs w:val="84"/>
        </w:rPr>
        <w:t xml:space="preserve"> </w:t>
      </w:r>
    </w:p>
    <w:p>
      <w:pPr>
        <w:pStyle w:val="15"/>
        <w:jc w:val="center"/>
        <w:rPr>
          <w:sz w:val="84"/>
          <w:szCs w:val="84"/>
        </w:rPr>
      </w:pPr>
    </w:p>
    <w:p>
      <w:pPr>
        <w:pStyle w:val="15"/>
        <w:jc w:val="center"/>
        <w:rPr>
          <w:sz w:val="84"/>
          <w:szCs w:val="84"/>
        </w:rPr>
      </w:pPr>
      <w:r>
        <w:rPr>
          <w:rFonts w:hint="eastAsia"/>
          <w:sz w:val="84"/>
          <w:szCs w:val="84"/>
        </w:rPr>
        <w:t>湖南省科学技术信息研究所</w:t>
      </w:r>
    </w:p>
    <w:p>
      <w:pPr>
        <w:pStyle w:val="15"/>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6"/>
        <w:ind w:firstLine="0" w:firstLineChars="0"/>
        <w:jc w:val="left"/>
        <w:rPr>
          <w:rFonts w:ascii="黑体" w:hAnsi="黑体" w:eastAsia="黑体"/>
          <w:sz w:val="32"/>
          <w:szCs w:val="32"/>
        </w:rPr>
      </w:pPr>
    </w:p>
    <w:p>
      <w:pPr>
        <w:pStyle w:val="16"/>
        <w:spacing w:line="560" w:lineRule="exact"/>
        <w:ind w:firstLine="640"/>
        <w:jc w:val="left"/>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部门职责</w:t>
      </w:r>
    </w:p>
    <w:p>
      <w:pPr>
        <w:pStyle w:val="16"/>
        <w:widowControl/>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湖南省科学技术信息研究所成立于1959年，是隶属于省科技厅的公益二类事业单位，是我省重要的科技信息（情报）研发、咨询、服务基地和科技信息人才培养基地，是国家国际科技合作基地，国家一级科技查新单位。主要承担科技政策、科技发展战略和区域创新发展研究，承接省科技厅科技网络、科技新闻、科技项目受理评估、科技报告与档案、科技统计分析等政务服务，开展竞争情报、科技文献、科技查新、科技评价、科技声像、科技期刊、科学技术普及等社会公益服务。</w:t>
      </w:r>
    </w:p>
    <w:p>
      <w:pPr>
        <w:widowControl/>
        <w:spacing w:line="56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二、机构设置</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内设机构设置。湖南省科学技术信息研究所内设部门为12个，分别为：综合办公室、人事监察室（党办）、财务室、离退休人员管理服务中心、科技发展战略研究中心（科技统计分析中心）、科技信息中心（科技大数据中心）、科技报告与档案中心、区域创新发展研究中心（知识服务平台中心）、科技查新检索中心、科技期刊与科普中心、竞争情报研究中心及创新教育研究中心（《发明与创新》杂志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（二）决算单位构成。</w:t>
      </w:r>
      <w:r>
        <w:rPr>
          <w:rFonts w:hint="eastAsia" w:ascii="仿宋_GB2312" w:hAnsi="仿宋_GB2312" w:eastAsia="仿宋_GB2312" w:cs="仿宋_GB2312"/>
          <w:sz w:val="32"/>
          <w:szCs w:val="32"/>
          <w:lang w:val="en-US" w:eastAsia="zh-CN"/>
        </w:rPr>
        <w:t>湖南省科学技术信息研究所</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年部门决算汇总公开单位构成包括：</w:t>
      </w:r>
      <w:r>
        <w:rPr>
          <w:rFonts w:hint="eastAsia" w:ascii="仿宋_GB2312" w:hAnsi="仿宋_GB2312" w:eastAsia="仿宋_GB2312" w:cs="仿宋_GB2312"/>
          <w:sz w:val="32"/>
          <w:szCs w:val="32"/>
          <w:lang w:val="en-US" w:eastAsia="zh-CN"/>
        </w:rPr>
        <w:t>湖南省科学技术信息研究所</w:t>
      </w:r>
      <w:r>
        <w:rPr>
          <w:rFonts w:hint="eastAsia" w:ascii="仿宋_GB2312" w:hAnsi="仿宋_GB2312" w:eastAsia="仿宋_GB2312" w:cs="仿宋_GB2312"/>
          <w:sz w:val="32"/>
          <w:szCs w:val="32"/>
        </w:rPr>
        <w:t>本级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无其他二级单位。</w:t>
      </w:r>
    </w:p>
    <w:p>
      <w:pPr>
        <w:snapToGrid w:val="0"/>
        <w:spacing w:line="560" w:lineRule="exact"/>
        <w:ind w:firstLine="640" w:firstLineChars="200"/>
        <w:rPr>
          <w:rFonts w:ascii="仿宋_GB2312" w:hAnsi="仿宋_GB2312" w:eastAsia="仿宋_GB2312" w:cs="仿宋_GB2312"/>
          <w:bCs/>
          <w:kern w:val="0"/>
          <w:sz w:val="32"/>
          <w:szCs w:val="32"/>
        </w:rPr>
      </w:pPr>
    </w:p>
    <w:p>
      <w:pPr>
        <w:spacing w:line="560" w:lineRule="exact"/>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jc w:val="center"/>
        <w:rPr>
          <w:sz w:val="72"/>
          <w:szCs w:val="72"/>
        </w:rPr>
      </w:pPr>
    </w:p>
    <w:p>
      <w:pPr>
        <w:jc w:val="center"/>
        <w:rPr>
          <w:sz w:val="72"/>
          <w:szCs w:val="72"/>
        </w:rPr>
      </w:pPr>
    </w:p>
    <w:p>
      <w:pPr>
        <w:jc w:val="center"/>
        <w:rPr>
          <w:rFonts w:ascii="黑体" w:eastAsia="黑体" w:cs="黑体"/>
          <w:color w:val="000000"/>
          <w:kern w:val="0"/>
          <w:sz w:val="84"/>
          <w:szCs w:val="84"/>
        </w:rPr>
      </w:pPr>
      <w:r>
        <w:rPr>
          <w:rFonts w:hint="eastAsia" w:ascii="黑体" w:eastAsia="黑体" w:cs="黑体"/>
          <w:color w:val="000000"/>
          <w:kern w:val="0"/>
          <w:sz w:val="84"/>
          <w:szCs w:val="84"/>
        </w:rPr>
        <w:t>第二部分</w:t>
      </w:r>
    </w:p>
    <w:p>
      <w:pPr>
        <w:jc w:val="center"/>
        <w:rPr>
          <w:rFonts w:ascii="黑体" w:eastAsia="黑体" w:cs="黑体"/>
          <w:color w:val="000000"/>
          <w:kern w:val="0"/>
          <w:sz w:val="84"/>
          <w:szCs w:val="84"/>
        </w:rPr>
      </w:pPr>
    </w:p>
    <w:p>
      <w:pPr>
        <w:jc w:val="center"/>
        <w:rPr>
          <w:rFonts w:ascii="黑体" w:hAnsi="黑体" w:eastAsia="黑体" w:cs="黑体"/>
          <w:sz w:val="84"/>
          <w:szCs w:val="84"/>
        </w:rPr>
      </w:pPr>
      <w:r>
        <w:rPr>
          <w:rFonts w:hint="eastAsia" w:ascii="黑体" w:hAnsi="黑体" w:eastAsia="黑体" w:cs="黑体"/>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1174" w:right="794" w:bottom="1174" w:left="1020" w:header="851" w:footer="992" w:gutter="0"/>
          <w:cols w:space="425" w:num="1"/>
          <w:docGrid w:type="lines" w:linePitch="312" w:charSpace="0"/>
        </w:sectPr>
      </w:pPr>
    </w:p>
    <w:p>
      <w:pPr>
        <w:jc w:val="center"/>
        <w:rPr>
          <w:rFonts w:ascii="Times New Roman" w:hAnsi="Times New Roman" w:eastAsia="方正小标宋_GBK" w:cs="Times New Roman"/>
          <w:kern w:val="0"/>
          <w:sz w:val="32"/>
          <w:szCs w:val="32"/>
        </w:rPr>
      </w:pPr>
      <w:r>
        <w:rPr>
          <w:rFonts w:hint="eastAsia" w:ascii="Times New Roman" w:hAnsi="Times New Roman" w:eastAsia="方正小标宋_GBK" w:cs="Times New Roman"/>
          <w:kern w:val="0"/>
          <w:sz w:val="32"/>
          <w:szCs w:val="32"/>
        </w:rPr>
        <w:t>收入支出决算总表</w:t>
      </w:r>
    </w:p>
    <w:p>
      <w:pPr>
        <w:jc w:val="right"/>
        <w:rPr>
          <w:rFonts w:ascii="宋体" w:hAnsi="宋体" w:eastAsia="宋体" w:cs="宋体"/>
          <w:color w:val="000000"/>
          <w:kern w:val="0"/>
          <w:sz w:val="22"/>
        </w:rPr>
      </w:pPr>
      <w:r>
        <w:rPr>
          <w:rFonts w:hint="eastAsia" w:ascii="宋体" w:hAnsi="宋体" w:eastAsia="宋体" w:cs="宋体"/>
          <w:color w:val="000000"/>
          <w:kern w:val="0"/>
          <w:sz w:val="22"/>
        </w:rPr>
        <w:t>公开01表</w:t>
      </w:r>
    </w:p>
    <w:p>
      <w:pPr>
        <w:jc w:val="left"/>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                                                                                 单位：万元</w:t>
      </w:r>
    </w:p>
    <w:tbl>
      <w:tblPr>
        <w:tblStyle w:val="11"/>
        <w:tblW w:w="14044" w:type="dxa"/>
        <w:tblInd w:w="-310" w:type="dxa"/>
        <w:tblLayout w:type="autofit"/>
        <w:tblCellMar>
          <w:top w:w="0" w:type="dxa"/>
          <w:left w:w="108" w:type="dxa"/>
          <w:bottom w:w="0" w:type="dxa"/>
          <w:right w:w="108" w:type="dxa"/>
        </w:tblCellMar>
      </w:tblPr>
      <w:tblGrid>
        <w:gridCol w:w="4660"/>
        <w:gridCol w:w="840"/>
        <w:gridCol w:w="1522"/>
        <w:gridCol w:w="4564"/>
        <w:gridCol w:w="874"/>
        <w:gridCol w:w="1584"/>
      </w:tblGrid>
      <w:tr>
        <w:tblPrEx>
          <w:tblCellMar>
            <w:top w:w="0" w:type="dxa"/>
            <w:left w:w="108" w:type="dxa"/>
            <w:bottom w:w="0" w:type="dxa"/>
            <w:right w:w="108" w:type="dxa"/>
          </w:tblCellMar>
        </w:tblPrEx>
        <w:trPr>
          <w:trHeight w:val="300" w:hRule="atLeast"/>
        </w:trPr>
        <w:tc>
          <w:tcPr>
            <w:tcW w:w="7022"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收入</w:t>
            </w:r>
          </w:p>
        </w:tc>
        <w:tc>
          <w:tcPr>
            <w:tcW w:w="7022" w:type="dxa"/>
            <w:gridSpan w:val="3"/>
            <w:tcBorders>
              <w:top w:val="single" w:color="auto" w:sz="4" w:space="0"/>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支出</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行次</w:t>
            </w:r>
          </w:p>
        </w:tc>
        <w:tc>
          <w:tcPr>
            <w:tcW w:w="152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w:t>
            </w:r>
          </w:p>
        </w:tc>
        <w:tc>
          <w:tcPr>
            <w:tcW w:w="456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行次</w:t>
            </w:r>
          </w:p>
        </w:tc>
        <w:tc>
          <w:tcPr>
            <w:tcW w:w="15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栏次</w:t>
            </w:r>
          </w:p>
        </w:tc>
        <w:tc>
          <w:tcPr>
            <w:tcW w:w="840"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152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456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栏次</w:t>
            </w:r>
          </w:p>
        </w:tc>
        <w:tc>
          <w:tcPr>
            <w:tcW w:w="874"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15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一、一般公共预算财政拨款收入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2281.81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一、一般公共服务支出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32</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0.98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二、政府性基金预算财政拨款收入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二、外交支出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33</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三、国有资本经营预算财政拨款收入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三、国防支出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34</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四、上级补助收入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四、公共安全支出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35</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五、事业收入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2440.25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五、教育支出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36</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六、经营收入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六、科学技术支出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37</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4200.63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七、附属单位上缴收入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7</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七、文化旅游体育与传媒支出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38</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八、其他收入</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4.80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八、社会保障和就业支出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39</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182.77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9</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九、卫生健康支出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40</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10</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十、节能环保支出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41</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297"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11</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十一、城乡社区支出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42</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十二、农林水支出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43</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13</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十三、交通运输支出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44</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14</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十四、资源勘探工业信息等支出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45</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15</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十五、商业服务业等支出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46</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16</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十六、金融支出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47</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17</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十七、援助其他地区支出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48</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18</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十八、自然资源海洋气象等支出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49</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19</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十九、住房保障支出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50</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140.89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20</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二十、粮油物资储备支出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51</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21</w:t>
            </w:r>
          </w:p>
        </w:tc>
        <w:tc>
          <w:tcPr>
            <w:tcW w:w="1522" w:type="dxa"/>
            <w:tcBorders>
              <w:top w:val="nil"/>
              <w:left w:val="nil"/>
              <w:bottom w:val="single" w:color="auto"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二十一、国有资本经营预算支出</w:t>
            </w:r>
          </w:p>
        </w:tc>
        <w:tc>
          <w:tcPr>
            <w:tcW w:w="874"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52</w:t>
            </w:r>
          </w:p>
        </w:tc>
        <w:tc>
          <w:tcPr>
            <w:tcW w:w="1584" w:type="dxa"/>
            <w:tcBorders>
              <w:top w:val="nil"/>
              <w:left w:val="nil"/>
              <w:bottom w:val="single" w:color="auto"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22</w:t>
            </w:r>
          </w:p>
        </w:tc>
        <w:tc>
          <w:tcPr>
            <w:tcW w:w="1522" w:type="dxa"/>
            <w:tcBorders>
              <w:top w:val="single" w:color="auto" w:sz="4" w:space="0"/>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二十二、灾害防治及应急管理支出</w:t>
            </w:r>
          </w:p>
        </w:tc>
        <w:tc>
          <w:tcPr>
            <w:tcW w:w="874"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53</w:t>
            </w:r>
          </w:p>
        </w:tc>
        <w:tc>
          <w:tcPr>
            <w:tcW w:w="1584" w:type="dxa"/>
            <w:tcBorders>
              <w:top w:val="single" w:color="auto" w:sz="4" w:space="0"/>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23</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二十三、其他支出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54</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24</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二十四、债务还本支出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55</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25</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二十五、债务付息支出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56</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26</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二十六、抗疫特别国债安排的支出</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57</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本年收入合计</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27</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4726.86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本年支出合计</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58</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4525.27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使用非财政拨款结余</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28</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629.09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结余分配</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59</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819.42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年初结转和结余</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29</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577.74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年末结转和结余</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60</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589.00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30</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0.00 </w:t>
            </w:r>
          </w:p>
        </w:tc>
        <w:tc>
          <w:tcPr>
            <w:tcW w:w="4564"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61</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0.00 </w:t>
            </w:r>
          </w:p>
        </w:tc>
      </w:tr>
      <w:tr>
        <w:tblPrEx>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总计</w:t>
            </w:r>
          </w:p>
        </w:tc>
        <w:tc>
          <w:tcPr>
            <w:tcW w:w="84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31</w:t>
            </w:r>
          </w:p>
        </w:tc>
        <w:tc>
          <w:tcPr>
            <w:tcW w:w="1522"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eastAsia" w:ascii="宋体" w:hAnsi="宋体" w:eastAsia="宋体" w:cs="宋体"/>
                <w:color w:val="000000"/>
                <w:kern w:val="0"/>
                <w:sz w:val="22"/>
                <w:lang w:bidi="ar"/>
              </w:rPr>
            </w:pPr>
            <w:r>
              <w:rPr>
                <w:rFonts w:hint="default" w:ascii="宋体" w:hAnsi="宋体" w:eastAsia="宋体" w:cs="宋体"/>
                <w:color w:val="000000"/>
                <w:kern w:val="0"/>
                <w:sz w:val="22"/>
                <w:lang w:val="en-US" w:eastAsia="zh-CN" w:bidi="ar"/>
              </w:rPr>
              <w:t xml:space="preserve">5933.69 </w:t>
            </w:r>
          </w:p>
        </w:tc>
        <w:tc>
          <w:tcPr>
            <w:tcW w:w="456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总计</w:t>
            </w:r>
          </w:p>
        </w:tc>
        <w:tc>
          <w:tcPr>
            <w:tcW w:w="87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62</w:t>
            </w:r>
          </w:p>
        </w:tc>
        <w:tc>
          <w:tcPr>
            <w:tcW w:w="1584" w:type="dxa"/>
            <w:tcBorders>
              <w:top w:val="nil"/>
              <w:left w:val="nil"/>
              <w:bottom w:val="single" w:color="000000" w:sz="4" w:space="0"/>
              <w:right w:val="single" w:color="000000" w:sz="4" w:space="0"/>
            </w:tcBorders>
            <w:shd w:val="clear" w:color="auto" w:fill="auto"/>
            <w:noWrap/>
            <w:vAlign w:val="bottom"/>
          </w:tcPr>
          <w:p>
            <w:pPr>
              <w:widowControl/>
              <w:jc w:val="right"/>
              <w:textAlignment w:val="bottom"/>
              <w:rPr>
                <w:rFonts w:hint="default" w:ascii="宋体" w:hAnsi="宋体" w:eastAsia="宋体" w:cs="宋体"/>
                <w:color w:val="000000"/>
                <w:kern w:val="0"/>
                <w:sz w:val="22"/>
                <w:lang w:val="en-US" w:eastAsia="zh-CN" w:bidi="ar"/>
              </w:rPr>
            </w:pPr>
            <w:r>
              <w:rPr>
                <w:rFonts w:hint="default" w:ascii="宋体" w:hAnsi="宋体" w:eastAsia="宋体" w:cs="宋体"/>
                <w:color w:val="000000"/>
                <w:kern w:val="0"/>
                <w:sz w:val="22"/>
                <w:lang w:val="en-US" w:eastAsia="zh-CN" w:bidi="ar"/>
              </w:rPr>
              <w:t xml:space="preserve">5933.69 </w:t>
            </w:r>
          </w:p>
        </w:tc>
      </w:tr>
    </w:tbl>
    <w:p>
      <w:pPr>
        <w:jc w:val="left"/>
        <w:rPr>
          <w:rFonts w:ascii="宋体" w:hAnsi="宋体" w:eastAsia="宋体" w:cs="宋体"/>
          <w:kern w:val="0"/>
          <w:sz w:val="22"/>
        </w:rPr>
      </w:pPr>
    </w:p>
    <w:p>
      <w:pPr>
        <w:jc w:val="left"/>
        <w:rPr>
          <w:rFonts w:ascii="宋体" w:hAnsi="宋体" w:eastAsia="宋体" w:cs="宋体"/>
          <w:sz w:val="22"/>
        </w:rPr>
      </w:pPr>
      <w:r>
        <w:rPr>
          <w:rFonts w:hint="eastAsia" w:ascii="宋体" w:hAnsi="宋体" w:eastAsia="宋体" w:cs="宋体"/>
          <w:sz w:val="22"/>
        </w:rPr>
        <w:t>注：1.本表反映部门本年度的总收支和年末结转结余情况。</w:t>
      </w:r>
      <w:r>
        <w:rPr>
          <w:rFonts w:hint="eastAsia" w:ascii="宋体" w:hAnsi="宋体" w:eastAsia="宋体" w:cs="宋体"/>
          <w:sz w:val="22"/>
        </w:rPr>
        <w:br w:type="textWrapping"/>
      </w:r>
      <w:r>
        <w:rPr>
          <w:rFonts w:hint="eastAsia" w:ascii="宋体" w:hAnsi="宋体" w:eastAsia="宋体" w:cs="宋体"/>
          <w:sz w:val="22"/>
        </w:rPr>
        <w:t xml:space="preserve">    2.本套报表金额单位转换时可能存在尾数误差。</w:t>
      </w: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left"/>
        <w:rPr>
          <w:rFonts w:ascii="宋体" w:hAnsi="宋体" w:eastAsia="宋体" w:cs="宋体"/>
          <w:kern w:val="0"/>
          <w:sz w:val="24"/>
          <w:szCs w:val="24"/>
        </w:rPr>
      </w:pPr>
    </w:p>
    <w:p>
      <w:pPr>
        <w:jc w:val="center"/>
        <w:rPr>
          <w:rFonts w:ascii="Times New Roman" w:hAnsi="Times New Roman" w:eastAsia="方正小标宋_GBK" w:cs="Times New Roman"/>
          <w:kern w:val="0"/>
          <w:sz w:val="32"/>
          <w:szCs w:val="32"/>
        </w:rPr>
      </w:pPr>
      <w:r>
        <w:rPr>
          <w:rFonts w:hint="eastAsia" w:ascii="Times New Roman" w:hAnsi="Times New Roman" w:eastAsia="方正小标宋_GBK" w:cs="Times New Roman"/>
          <w:kern w:val="0"/>
          <w:sz w:val="32"/>
          <w:szCs w:val="32"/>
        </w:rPr>
        <w:t>收入决算表</w:t>
      </w:r>
    </w:p>
    <w:p>
      <w:pPr>
        <w:jc w:val="right"/>
        <w:rPr>
          <w:rFonts w:ascii="宋体" w:hAnsi="宋体" w:eastAsia="宋体" w:cs="宋体"/>
          <w:color w:val="000000"/>
          <w:kern w:val="0"/>
          <w:sz w:val="22"/>
        </w:rPr>
      </w:pPr>
      <w:r>
        <w:rPr>
          <w:rFonts w:hint="eastAsia" w:ascii="宋体" w:hAnsi="宋体" w:eastAsia="宋体" w:cs="宋体"/>
          <w:color w:val="000000"/>
          <w:kern w:val="0"/>
          <w:sz w:val="22"/>
        </w:rPr>
        <w:t>公开02表</w:t>
      </w:r>
    </w:p>
    <w:p>
      <w:pPr>
        <w:jc w:val="left"/>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                                                                                 单位：万元</w:t>
      </w:r>
    </w:p>
    <w:p>
      <w:pPr>
        <w:jc w:val="left"/>
        <w:rPr>
          <w:sz w:val="24"/>
          <w:szCs w:val="24"/>
        </w:rPr>
      </w:pPr>
    </w:p>
    <w:tbl>
      <w:tblPr>
        <w:tblStyle w:val="11"/>
        <w:tblW w:w="14805" w:type="dxa"/>
        <w:tblInd w:w="-6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71"/>
        <w:gridCol w:w="3039"/>
        <w:gridCol w:w="1620"/>
        <w:gridCol w:w="1605"/>
        <w:gridCol w:w="1680"/>
        <w:gridCol w:w="1200"/>
        <w:gridCol w:w="1380"/>
        <w:gridCol w:w="1364"/>
        <w:gridCol w:w="12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1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3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3039"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3039"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trPr>
        <w:tc>
          <w:tcPr>
            <w:tcW w:w="16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3039"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1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1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4,726.86</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2,281.81</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2,440.25</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20114</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知识产权事务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0.80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0.80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2011405</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知识产权战略和规划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20138</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市场监督管理事务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2013810</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质量基础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科学技术支出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4,398.40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1,953.35</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2,440.25</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20602</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基础研究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11.37</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11.37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2060203</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自然科学基金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11.37</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20603</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应用研究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2,561.82</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1,146.19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1,410.83</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2060301</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机构运行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1,016.19</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1,016.19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2060399</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其他应用研究支出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1,545.63</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1,410.83</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20604</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技术研究与开发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1,040.92</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1,029.42</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2060404</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科技成果转化与扩散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2060499</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其他技术研究与开发支出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1,029.42</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1,029.42</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20605</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科技条件与服务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667.79</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667.79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2060502</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技术创新服务体系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2060503</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科技条件专项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214.35</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214.35</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2060599</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其他科技条件与服务支出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451.52</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451.52</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20606</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社会科学</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31.50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2060699</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其他社会科学支出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20607</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科学技术普及</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35.00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2060799</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其他科学技术普及支出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20609</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科技重大项目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50.00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50.00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2060902</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重点研发计划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208</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社会保障和就业支出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20805</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行政事业单位养老支出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130.64</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130.64</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机关事业单位职业年金缴费支出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52.13</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52.13</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221</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住房保障支出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22102</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住房改革支出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2210203</w:t>
            </w:r>
          </w:p>
        </w:tc>
        <w:tc>
          <w:tcPr>
            <w:tcW w:w="3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购房补贴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jc w:val="left"/>
        <w:rPr>
          <w:rFonts w:hint="eastAsia"/>
          <w:sz w:val="22"/>
        </w:rPr>
      </w:pPr>
    </w:p>
    <w:p>
      <w:pPr>
        <w:jc w:val="left"/>
        <w:rPr>
          <w:rFonts w:ascii="华文中宋" w:hAnsi="华文中宋" w:eastAsia="华文中宋"/>
          <w:color w:val="000000"/>
          <w:sz w:val="22"/>
        </w:rPr>
      </w:pPr>
      <w:r>
        <w:rPr>
          <w:rFonts w:hint="eastAsia"/>
          <w:sz w:val="22"/>
        </w:rPr>
        <w:t>注：本表反映部门本年度取得的各项收入情况。</w:t>
      </w:r>
    </w:p>
    <w:p>
      <w:pPr>
        <w:jc w:val="center"/>
        <w:rPr>
          <w:rFonts w:ascii="Times New Roman" w:hAnsi="Times New Roman" w:eastAsia="黑体" w:cs="Times New Roman"/>
          <w:bCs/>
          <w:kern w:val="0"/>
          <w:sz w:val="32"/>
          <w:szCs w:val="32"/>
        </w:rPr>
      </w:pPr>
    </w:p>
    <w:p>
      <w:pPr>
        <w:jc w:val="center"/>
        <w:rPr>
          <w:rFonts w:ascii="华文中宋" w:hAnsi="华文中宋" w:eastAsia="华文中宋" w:cs="宋体"/>
          <w:color w:val="000000"/>
          <w:kern w:val="0"/>
          <w:sz w:val="32"/>
          <w:szCs w:val="32"/>
        </w:rPr>
      </w:pPr>
      <w:r>
        <w:rPr>
          <w:rFonts w:ascii="Times New Roman" w:hAnsi="Times New Roman" w:eastAsia="黑体" w:cs="Times New Roman"/>
          <w:bCs/>
          <w:kern w:val="0"/>
          <w:sz w:val="32"/>
          <w:szCs w:val="32"/>
        </w:rPr>
        <w:br w:type="page"/>
      </w:r>
      <w:r>
        <w:rPr>
          <w:rFonts w:hint="eastAsia" w:ascii="Times New Roman" w:hAnsi="Times New Roman" w:eastAsia="方正小标宋_GBK" w:cs="Times New Roman"/>
          <w:kern w:val="0"/>
          <w:sz w:val="32"/>
          <w:szCs w:val="32"/>
        </w:rPr>
        <w:t>支出决算表</w:t>
      </w:r>
    </w:p>
    <w:p>
      <w:pPr>
        <w:jc w:val="right"/>
        <w:rPr>
          <w:rFonts w:ascii="宋体" w:hAnsi="宋体" w:eastAsia="宋体" w:cs="宋体"/>
          <w:color w:val="000000"/>
          <w:kern w:val="0"/>
          <w:sz w:val="22"/>
        </w:rPr>
      </w:pPr>
      <w:r>
        <w:rPr>
          <w:rFonts w:hint="eastAsia" w:ascii="宋体" w:hAnsi="宋体" w:eastAsia="宋体" w:cs="宋体"/>
          <w:color w:val="000000"/>
          <w:kern w:val="0"/>
          <w:sz w:val="22"/>
        </w:rPr>
        <w:t>公开03表</w:t>
      </w:r>
    </w:p>
    <w:p>
      <w:pPr>
        <w:jc w:val="center"/>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                                                                                 单位：万元</w:t>
      </w:r>
    </w:p>
    <w:p>
      <w:pPr>
        <w:jc w:val="left"/>
        <w:rPr>
          <w:rFonts w:ascii="宋体" w:hAnsi="宋体" w:eastAsia="宋体" w:cs="宋体"/>
          <w:kern w:val="0"/>
          <w:sz w:val="22"/>
        </w:rPr>
      </w:pPr>
    </w:p>
    <w:tbl>
      <w:tblPr>
        <w:tblStyle w:val="11"/>
        <w:tblW w:w="14850" w:type="dxa"/>
        <w:tblInd w:w="-6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0"/>
        <w:gridCol w:w="4106"/>
        <w:gridCol w:w="2539"/>
        <w:gridCol w:w="1320"/>
        <w:gridCol w:w="1335"/>
        <w:gridCol w:w="1530"/>
        <w:gridCol w:w="130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30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5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410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5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410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tc>
        <w:tc>
          <w:tcPr>
            <w:tcW w:w="25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410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tc>
        <w:tc>
          <w:tcPr>
            <w:tcW w:w="25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0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0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4,525.27</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1,940.21</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2,585.06</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一般公共服务支出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0.98</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0.98</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20114</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知识产权事务</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0.80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0.80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2011405</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知识产权战略和规划</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20138</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市场监督管理事务</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0.18</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0.18</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2013810</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质量基础</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0.18</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0.18</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科学技术支出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4,200.63</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1,616.55</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2,584.08</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20602</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基础研究</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11.17</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11.17</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2060203</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自然科学基金</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11.17</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11.17</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20603</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应用研究</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2,349.61</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1,616.55</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733.06</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2060301</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机构运行</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1,616.55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1,616.55</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2060303</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高技术研究</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2060399</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其他应用研究支出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668.86</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668.86</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20604</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技术研究与开发</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1,033.19</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1,033.19</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2060404</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科技成果转化与扩散</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2060499</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其他技术研究与开发支出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1,021.69</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1,021.69</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20605</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科技条件与服务</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746.85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746.85</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2060502</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技术创新服务体系</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2060503</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科技条件专项</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348.35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348.35</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2060599</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其他科技条件与服务支出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396.59</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396.59</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20606</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社会科学</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7.25</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2060699</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其他社会科学支出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20607</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科学技术普及</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51.05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51.05</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2060702</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科普活动</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2060799</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其他科学技术普及支出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20609</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科技重大项目</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2060902</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重点研发计划</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208</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社会保障和就业支出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20805</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行政事业单位养老支出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130.64</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130.64</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机关事业单位职业年金缴费支出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52.13</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52.13</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221</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住房保障支出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22102</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住房改革支出</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2210203</w:t>
            </w:r>
          </w:p>
        </w:tc>
        <w:tc>
          <w:tcPr>
            <w:tcW w:w="41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购房补贴</w:t>
            </w:r>
          </w:p>
        </w:tc>
        <w:tc>
          <w:tcPr>
            <w:tcW w:w="25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13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jc w:val="left"/>
        <w:rPr>
          <w:rFonts w:hint="eastAsia" w:ascii="宋体" w:hAnsi="宋体" w:eastAsia="宋体" w:cs="宋体"/>
          <w:kern w:val="0"/>
          <w:sz w:val="22"/>
        </w:rPr>
      </w:pPr>
    </w:p>
    <w:p>
      <w:pPr>
        <w:jc w:val="left"/>
        <w:rPr>
          <w:rFonts w:ascii="华文中宋" w:hAnsi="华文中宋" w:eastAsia="华文中宋" w:cs="宋体"/>
          <w:color w:val="000000"/>
          <w:kern w:val="0"/>
          <w:sz w:val="22"/>
        </w:rPr>
        <w:sectPr>
          <w:pgSz w:w="16838" w:h="11906" w:orient="landscape"/>
          <w:pgMar w:top="1304" w:right="1803" w:bottom="1304" w:left="1803" w:header="851" w:footer="992" w:gutter="0"/>
          <w:cols w:space="425" w:num="1"/>
          <w:docGrid w:type="linesAndChars" w:linePitch="312" w:charSpace="0"/>
        </w:sectPr>
      </w:pPr>
      <w:r>
        <w:rPr>
          <w:rFonts w:hint="eastAsia" w:ascii="宋体" w:hAnsi="宋体" w:eastAsia="宋体" w:cs="宋体"/>
          <w:kern w:val="0"/>
          <w:sz w:val="22"/>
        </w:rPr>
        <w:t>注：本表反映部门本年度各项支出情况。</w:t>
      </w:r>
    </w:p>
    <w:p>
      <w:pPr>
        <w:widowControl/>
        <w:jc w:val="center"/>
        <w:rPr>
          <w:rFonts w:ascii="宋体" w:hAnsi="宋体" w:eastAsia="宋体" w:cs="宋体"/>
          <w:kern w:val="0"/>
          <w:sz w:val="22"/>
        </w:rPr>
      </w:pPr>
      <w:r>
        <w:rPr>
          <w:rFonts w:hint="eastAsia" w:ascii="Times New Roman" w:hAnsi="Times New Roman" w:eastAsia="方正小标宋_GBK" w:cs="Times New Roman"/>
          <w:kern w:val="0"/>
          <w:sz w:val="32"/>
          <w:szCs w:val="32"/>
        </w:rPr>
        <w:t>财政拨款收入支出决算总表</w:t>
      </w:r>
    </w:p>
    <w:p>
      <w:pPr>
        <w:jc w:val="right"/>
        <w:rPr>
          <w:rFonts w:ascii="宋体" w:hAnsi="宋体" w:eastAsia="宋体" w:cs="宋体"/>
          <w:color w:val="000000"/>
          <w:kern w:val="0"/>
          <w:sz w:val="22"/>
        </w:rPr>
      </w:pPr>
      <w:r>
        <w:rPr>
          <w:rFonts w:hint="eastAsia" w:ascii="宋体" w:hAnsi="宋体" w:eastAsia="宋体" w:cs="宋体"/>
          <w:color w:val="000000"/>
          <w:kern w:val="0"/>
          <w:sz w:val="22"/>
        </w:rPr>
        <w:t>公开04表</w:t>
      </w:r>
    </w:p>
    <w:p>
      <w:pPr>
        <w:jc w:val="center"/>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                                                                                 单位：万元</w:t>
      </w:r>
    </w:p>
    <w:tbl>
      <w:tblPr>
        <w:tblStyle w:val="11"/>
        <w:tblpPr w:leftFromText="180" w:rightFromText="180" w:vertAnchor="text" w:horzAnchor="page" w:tblpX="1049" w:tblpY="313"/>
        <w:tblOverlap w:val="never"/>
        <w:tblW w:w="14735" w:type="dxa"/>
        <w:tblInd w:w="0" w:type="dxa"/>
        <w:tblLayout w:type="fixed"/>
        <w:tblCellMar>
          <w:top w:w="0" w:type="dxa"/>
          <w:left w:w="108" w:type="dxa"/>
          <w:bottom w:w="0" w:type="dxa"/>
          <w:right w:w="108" w:type="dxa"/>
        </w:tblCellMar>
      </w:tblPr>
      <w:tblGrid>
        <w:gridCol w:w="3123"/>
        <w:gridCol w:w="525"/>
        <w:gridCol w:w="1338"/>
        <w:gridCol w:w="3497"/>
        <w:gridCol w:w="550"/>
        <w:gridCol w:w="1291"/>
        <w:gridCol w:w="1571"/>
        <w:gridCol w:w="1434"/>
        <w:gridCol w:w="1406"/>
      </w:tblGrid>
      <w:tr>
        <w:tblPrEx>
          <w:tblCellMar>
            <w:top w:w="0" w:type="dxa"/>
            <w:left w:w="108" w:type="dxa"/>
            <w:bottom w:w="0" w:type="dxa"/>
            <w:right w:w="108" w:type="dxa"/>
          </w:tblCellMar>
        </w:tblPrEx>
        <w:trPr>
          <w:trHeight w:val="300" w:hRule="atLeast"/>
        </w:trPr>
        <w:tc>
          <w:tcPr>
            <w:tcW w:w="4986"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收     入</w:t>
            </w:r>
          </w:p>
        </w:tc>
        <w:tc>
          <w:tcPr>
            <w:tcW w:w="9749" w:type="dxa"/>
            <w:gridSpan w:val="6"/>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支     出</w:t>
            </w:r>
          </w:p>
        </w:tc>
      </w:tr>
      <w:tr>
        <w:tblPrEx>
          <w:tblCellMar>
            <w:top w:w="0" w:type="dxa"/>
            <w:left w:w="108" w:type="dxa"/>
            <w:bottom w:w="0" w:type="dxa"/>
            <w:right w:w="108" w:type="dxa"/>
          </w:tblCellMar>
        </w:tblPrEx>
        <w:trPr>
          <w:trHeight w:val="312" w:hRule="atLeast"/>
        </w:trPr>
        <w:tc>
          <w:tcPr>
            <w:tcW w:w="312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w:t>
            </w:r>
          </w:p>
        </w:tc>
        <w:tc>
          <w:tcPr>
            <w:tcW w:w="525"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行次</w:t>
            </w:r>
          </w:p>
        </w:tc>
        <w:tc>
          <w:tcPr>
            <w:tcW w:w="1338"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金额</w:t>
            </w:r>
          </w:p>
        </w:tc>
        <w:tc>
          <w:tcPr>
            <w:tcW w:w="3497" w:type="dxa"/>
            <w:vMerge w:val="restart"/>
            <w:tcBorders>
              <w:top w:val="nil"/>
              <w:left w:val="nil"/>
              <w:bottom w:val="single" w:color="000000" w:sz="4" w:space="0"/>
              <w:right w:val="single" w:color="000000" w:sz="4" w:space="0"/>
            </w:tcBorders>
            <w:shd w:val="clear" w:color="auto" w:fill="auto"/>
            <w:vAlign w:val="bottom"/>
          </w:tcPr>
          <w:p>
            <w:pPr>
              <w:widowControl/>
              <w:textAlignment w:val="bottom"/>
              <w:rPr>
                <w:rFonts w:ascii="宋体" w:hAnsi="宋体" w:eastAsia="宋体" w:cs="宋体"/>
                <w:color w:val="000000"/>
                <w:sz w:val="22"/>
              </w:rPr>
            </w:pPr>
            <w:r>
              <w:rPr>
                <w:rFonts w:hint="eastAsia" w:ascii="宋体" w:hAnsi="宋体" w:eastAsia="宋体" w:cs="宋体"/>
                <w:color w:val="000000"/>
                <w:kern w:val="0"/>
                <w:sz w:val="22"/>
                <w:lang w:bidi="ar"/>
              </w:rPr>
              <w:t>项目</w:t>
            </w:r>
          </w:p>
        </w:tc>
        <w:tc>
          <w:tcPr>
            <w:tcW w:w="5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行次</w:t>
            </w:r>
          </w:p>
        </w:tc>
        <w:tc>
          <w:tcPr>
            <w:tcW w:w="1291" w:type="dxa"/>
            <w:vMerge w:val="restart"/>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合计</w:t>
            </w:r>
          </w:p>
        </w:tc>
        <w:tc>
          <w:tcPr>
            <w:tcW w:w="157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一般公共预算财政拨款</w:t>
            </w:r>
          </w:p>
        </w:tc>
        <w:tc>
          <w:tcPr>
            <w:tcW w:w="1434"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政府性基金预算财政拨款</w:t>
            </w:r>
          </w:p>
        </w:tc>
        <w:tc>
          <w:tcPr>
            <w:tcW w:w="1406"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国有资本经营预算财政拨款</w:t>
            </w:r>
          </w:p>
        </w:tc>
      </w:tr>
      <w:tr>
        <w:tblPrEx>
          <w:tblCellMar>
            <w:top w:w="0" w:type="dxa"/>
            <w:left w:w="108" w:type="dxa"/>
            <w:bottom w:w="0" w:type="dxa"/>
            <w:right w:w="108" w:type="dxa"/>
          </w:tblCellMar>
        </w:tblPrEx>
        <w:trPr>
          <w:trHeight w:val="600" w:hRule="atLeast"/>
        </w:trPr>
        <w:tc>
          <w:tcPr>
            <w:tcW w:w="3123"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2"/>
              </w:rPr>
            </w:pPr>
          </w:p>
        </w:tc>
        <w:tc>
          <w:tcPr>
            <w:tcW w:w="52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338"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3497" w:type="dxa"/>
            <w:vMerge w:val="continue"/>
            <w:tcBorders>
              <w:top w:val="nil"/>
              <w:left w:val="nil"/>
              <w:bottom w:val="single" w:color="000000" w:sz="4" w:space="0"/>
              <w:right w:val="single" w:color="000000" w:sz="4" w:space="0"/>
            </w:tcBorders>
            <w:shd w:val="clear" w:color="auto" w:fill="auto"/>
            <w:vAlign w:val="bottom"/>
          </w:tcPr>
          <w:p>
            <w:pPr>
              <w:rPr>
                <w:rFonts w:ascii="宋体" w:hAnsi="宋体" w:eastAsia="宋体" w:cs="宋体"/>
                <w:color w:val="000000"/>
                <w:sz w:val="22"/>
              </w:rPr>
            </w:pPr>
          </w:p>
        </w:tc>
        <w:tc>
          <w:tcPr>
            <w:tcW w:w="55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91"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157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434"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406"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栏次</w:t>
            </w:r>
          </w:p>
        </w:tc>
        <w:tc>
          <w:tcPr>
            <w:tcW w:w="525"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133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3497" w:type="dxa"/>
            <w:tcBorders>
              <w:top w:val="nil"/>
              <w:left w:val="nil"/>
              <w:bottom w:val="single" w:color="000000" w:sz="4" w:space="0"/>
              <w:right w:val="single" w:color="000000" w:sz="4" w:space="0"/>
            </w:tcBorders>
            <w:shd w:val="clear" w:color="auto" w:fill="auto"/>
            <w:noWrap/>
            <w:vAlign w:val="bottom"/>
          </w:tcPr>
          <w:p>
            <w:pPr>
              <w:widowControl/>
              <w:textAlignment w:val="bottom"/>
              <w:rPr>
                <w:rFonts w:ascii="宋体" w:hAnsi="宋体" w:eastAsia="宋体" w:cs="宋体"/>
                <w:color w:val="000000"/>
                <w:sz w:val="22"/>
              </w:rPr>
            </w:pPr>
            <w:r>
              <w:rPr>
                <w:rFonts w:hint="eastAsia" w:ascii="宋体" w:hAnsi="宋体" w:eastAsia="宋体" w:cs="宋体"/>
                <w:color w:val="000000"/>
                <w:kern w:val="0"/>
                <w:sz w:val="22"/>
                <w:lang w:bidi="ar"/>
              </w:rPr>
              <w:t>栏次</w:t>
            </w:r>
          </w:p>
        </w:tc>
        <w:tc>
          <w:tcPr>
            <w:tcW w:w="550"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12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57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43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140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一、一般公共预算财政拨款</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2,281.81</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一、一般公共服务支出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33</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0.98</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0.98</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二、政府性基金预算财政拨款</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二、外交支出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三、国有资本经营财政拨款</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三、国防支出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35</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四、公共安全支出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36</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五、教育支出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37</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六、科学技术支出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38</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1,913.22</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1,913.22</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7</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七、文化旅游体育与传媒支出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39</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八、社会保障和就业支出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40</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182.77</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182.77</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9</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九、卫生健康支出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41</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10</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十、节能环保支出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42</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11</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十一、城乡社区支出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43</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十二、农林水支出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13</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十三、交通运输支出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45</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14</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十四、资源勘探工业信息等支出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46</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15</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十五、商业服务业等支出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47</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16</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十六、金融支出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48</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17</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十七、援助其他地区支出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49</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18</w:t>
            </w:r>
          </w:p>
        </w:tc>
        <w:tc>
          <w:tcPr>
            <w:tcW w:w="1338" w:type="dxa"/>
            <w:tcBorders>
              <w:top w:val="nil"/>
              <w:left w:val="nil"/>
              <w:bottom w:val="single" w:color="auto"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十八、自然资源海洋气象等支出</w:t>
            </w:r>
          </w:p>
        </w:tc>
        <w:tc>
          <w:tcPr>
            <w:tcW w:w="55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50</w:t>
            </w:r>
          </w:p>
        </w:tc>
        <w:tc>
          <w:tcPr>
            <w:tcW w:w="1291"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19</w:t>
            </w:r>
          </w:p>
        </w:tc>
        <w:tc>
          <w:tcPr>
            <w:tcW w:w="1338" w:type="dxa"/>
            <w:tcBorders>
              <w:top w:val="single" w:color="auto" w:sz="4" w:space="0"/>
              <w:left w:val="nil"/>
              <w:bottom w:val="single" w:color="auto"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single" w:color="auto" w:sz="4" w:space="0"/>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十九、住房保障支出</w:t>
            </w:r>
          </w:p>
        </w:tc>
        <w:tc>
          <w:tcPr>
            <w:tcW w:w="550"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51</w:t>
            </w:r>
          </w:p>
        </w:tc>
        <w:tc>
          <w:tcPr>
            <w:tcW w:w="1291"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140.89</w:t>
            </w:r>
          </w:p>
        </w:tc>
        <w:tc>
          <w:tcPr>
            <w:tcW w:w="1571"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140.89</w:t>
            </w:r>
          </w:p>
        </w:tc>
        <w:tc>
          <w:tcPr>
            <w:tcW w:w="1434"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20</w:t>
            </w:r>
          </w:p>
        </w:tc>
        <w:tc>
          <w:tcPr>
            <w:tcW w:w="1338"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二十、粮油物资储备支出</w:t>
            </w:r>
          </w:p>
        </w:tc>
        <w:tc>
          <w:tcPr>
            <w:tcW w:w="550" w:type="dxa"/>
            <w:tcBorders>
              <w:top w:val="single" w:color="auto" w:sz="4" w:space="0"/>
              <w:left w:val="nil"/>
              <w:bottom w:val="single" w:color="000000"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52</w:t>
            </w:r>
          </w:p>
        </w:tc>
        <w:tc>
          <w:tcPr>
            <w:tcW w:w="1291"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21</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二十一、国有资本经营预算支出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53</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22</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二十二、灾害防治及应急管理支出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23</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二十三、其他支出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55</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24</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二十四、债务还本支出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56</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25</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二十五、债务付息支出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57</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26</w:t>
            </w:r>
          </w:p>
        </w:tc>
        <w:tc>
          <w:tcPr>
            <w:tcW w:w="1338"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二十六、抗疫特别国债安排的支出</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58</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本年收入合计</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27</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2,281.81</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本年支出合计</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59</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2,237.86</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2,237.86</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年初财政拨款结转和结余</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28</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366.96</w:t>
            </w:r>
          </w:p>
        </w:tc>
        <w:tc>
          <w:tcPr>
            <w:tcW w:w="349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年末财政拨款结转和结余</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60</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410.91</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410.91</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 xml:space="preserve">  一般公共预算财政拨款</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29</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366.96</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61</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 xml:space="preserve">  政府性基金预算财政拨款</w:t>
            </w:r>
          </w:p>
        </w:tc>
        <w:tc>
          <w:tcPr>
            <w:tcW w:w="5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30</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62</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r>
      <w:tr>
        <w:tblPrEx>
          <w:tblCellMar>
            <w:top w:w="0" w:type="dxa"/>
            <w:left w:w="108" w:type="dxa"/>
            <w:bottom w:w="0" w:type="dxa"/>
            <w:right w:w="108" w:type="dxa"/>
          </w:tblCellMar>
        </w:tblPrEx>
        <w:trPr>
          <w:trHeight w:val="300" w:hRule="atLeast"/>
        </w:trPr>
        <w:tc>
          <w:tcPr>
            <w:tcW w:w="3123" w:type="dxa"/>
            <w:tcBorders>
              <w:top w:val="nil"/>
              <w:left w:val="single" w:color="000000" w:sz="4" w:space="0"/>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lang w:bidi="ar"/>
              </w:rPr>
              <w:t xml:space="preserve">  国有资本经营预算财政拨款</w:t>
            </w:r>
          </w:p>
        </w:tc>
        <w:tc>
          <w:tcPr>
            <w:tcW w:w="525"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31</w:t>
            </w:r>
          </w:p>
        </w:tc>
        <w:tc>
          <w:tcPr>
            <w:tcW w:w="1338"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63</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r>
      <w:tr>
        <w:tblPrEx>
          <w:tblCellMar>
            <w:top w:w="0" w:type="dxa"/>
            <w:left w:w="108" w:type="dxa"/>
            <w:bottom w:w="0" w:type="dxa"/>
            <w:right w:w="108" w:type="dxa"/>
          </w:tblCellMar>
        </w:tblPrEx>
        <w:trPr>
          <w:trHeight w:val="300" w:hRule="atLeast"/>
        </w:trPr>
        <w:tc>
          <w:tcPr>
            <w:tcW w:w="312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总计</w:t>
            </w:r>
          </w:p>
        </w:tc>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32</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2,648.77</w:t>
            </w:r>
          </w:p>
        </w:tc>
        <w:tc>
          <w:tcPr>
            <w:tcW w:w="3497" w:type="dxa"/>
            <w:tcBorders>
              <w:top w:val="nil"/>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lang w:bidi="ar"/>
              </w:rPr>
              <w:t>总计</w:t>
            </w:r>
          </w:p>
        </w:tc>
        <w:tc>
          <w:tcPr>
            <w:tcW w:w="5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2,648.77</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2,648.77</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w:t>
            </w:r>
          </w:p>
        </w:tc>
      </w:tr>
    </w:tbl>
    <w:p>
      <w:pPr>
        <w:jc w:val="left"/>
        <w:rPr>
          <w:rFonts w:hint="eastAsia" w:ascii="宋体" w:hAnsi="宋体" w:eastAsia="宋体" w:cs="宋体"/>
          <w:kern w:val="0"/>
          <w:sz w:val="22"/>
        </w:rPr>
      </w:pPr>
    </w:p>
    <w:p>
      <w:pPr>
        <w:jc w:val="left"/>
        <w:rPr>
          <w:rFonts w:ascii="宋体" w:hAnsi="宋体" w:eastAsia="宋体" w:cs="宋体"/>
          <w:color w:val="000000"/>
          <w:kern w:val="0"/>
          <w:sz w:val="22"/>
        </w:rPr>
      </w:pPr>
      <w:r>
        <w:rPr>
          <w:rFonts w:hint="eastAsia" w:ascii="宋体" w:hAnsi="宋体" w:eastAsia="宋体" w:cs="宋体"/>
          <w:kern w:val="0"/>
          <w:sz w:val="22"/>
        </w:rPr>
        <w:t>注：本表反映部门本年度一般公共预算财政拨款、政府性基金预算财政拨款和国有资本经营预算财政拨款的总收支和年末结转结余情况。</w:t>
      </w: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2"/>
          <w:szCs w:val="32"/>
        </w:rPr>
      </w:pPr>
      <w:r>
        <w:rPr>
          <w:rFonts w:ascii="Times New Roman" w:hAnsi="Times New Roman" w:eastAsia="方正小标宋_GBK" w:cs="Times New Roman"/>
          <w:kern w:val="0"/>
          <w:sz w:val="32"/>
          <w:szCs w:val="32"/>
        </w:rPr>
        <w:t>一般公共预算财政拨款支出决算表</w:t>
      </w:r>
      <w:bookmarkEnd w:id="1"/>
    </w:p>
    <w:p>
      <w:pPr>
        <w:jc w:val="right"/>
        <w:rPr>
          <w:rFonts w:ascii="宋体" w:hAnsi="宋体" w:eastAsia="宋体" w:cs="宋体"/>
          <w:color w:val="000000"/>
          <w:kern w:val="0"/>
          <w:sz w:val="22"/>
        </w:rPr>
      </w:pPr>
      <w:r>
        <w:rPr>
          <w:rFonts w:hint="eastAsia" w:ascii="宋体" w:hAnsi="宋体" w:eastAsia="宋体" w:cs="宋体"/>
          <w:color w:val="000000"/>
          <w:kern w:val="0"/>
          <w:sz w:val="22"/>
        </w:rPr>
        <w:t>公开05表</w:t>
      </w:r>
    </w:p>
    <w:p>
      <w:pPr>
        <w:jc w:val="center"/>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                                                                                 单位：万元</w:t>
      </w:r>
    </w:p>
    <w:tbl>
      <w:tblPr>
        <w:tblStyle w:val="11"/>
        <w:tblW w:w="134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7"/>
        <w:gridCol w:w="5674"/>
        <w:gridCol w:w="2415"/>
        <w:gridCol w:w="2250"/>
        <w:gridCol w:w="2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66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ind w:firstLine="2420" w:firstLineChars="110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                   目</w:t>
            </w:r>
          </w:p>
        </w:tc>
        <w:tc>
          <w:tcPr>
            <w:tcW w:w="679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5674"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4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2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1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5674"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tc>
        <w:tc>
          <w:tcPr>
            <w:tcW w:w="24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5674"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2"/>
                <w:szCs w:val="22"/>
                <w:u w:val="none"/>
              </w:rPr>
            </w:pPr>
          </w:p>
        </w:tc>
        <w:tc>
          <w:tcPr>
            <w:tcW w:w="24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2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66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66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2,237.86</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1,338.59</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899.27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一般公共服务支出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0.98</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20114</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知识产权事务</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0.80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2011405</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知识产权战略和规划</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20138</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市场监督管理事务</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0.18</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2013810</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质量基础</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0.18</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科学技术支出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1,913.22</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1,014.93</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898.30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20602</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基础研究</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11.17</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2060203</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自然科学基金</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11.17</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20603</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应用研究</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1,083.90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1,014.93</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68.97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2060301</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机构运行</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1,014.93</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1,014.93</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2060303</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高技术研究</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2060399</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其他应用研究支出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4.77</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20604</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技术研究与开发</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11.50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2060404</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科技成果转化与扩散</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20605</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科技条件与服务</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746.85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746.85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2060502</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技术创新服务体系</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2060503</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科技条件专项</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348.35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2060599</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其他科技条件与服务支出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396.59</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20606</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社会科学</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2060699</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其他社会科学支出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20607</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科学技术普及</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51.05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2060702</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科普活动</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2060799</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其他科学技术普及支出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20609</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科技重大项目</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2060902</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重点研发计划</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208</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社会保障和就业支出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20805</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行政事业单位养老支出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182.77</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130.64</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130.64</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机关事业单位职业年金缴费支出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52.13</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52.13</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221</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住房保障支出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22102</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住房改革支出</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140.89</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115.00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2210203</w:t>
            </w:r>
          </w:p>
        </w:tc>
        <w:tc>
          <w:tcPr>
            <w:tcW w:w="5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购房补贴</w:t>
            </w:r>
          </w:p>
        </w:tc>
        <w:tc>
          <w:tcPr>
            <w:tcW w:w="24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22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21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widowControl/>
        <w:jc w:val="left"/>
        <w:rPr>
          <w:rFonts w:ascii="宋体" w:hAnsi="宋体" w:eastAsia="宋体" w:cs="宋体"/>
          <w:kern w:val="0"/>
          <w:sz w:val="24"/>
          <w:szCs w:val="24"/>
        </w:rPr>
      </w:pPr>
    </w:p>
    <w:p>
      <w:pPr>
        <w:widowControl/>
        <w:jc w:val="left"/>
        <w:rPr>
          <w:rFonts w:ascii="宋体" w:hAnsi="宋体" w:eastAsia="宋体" w:cs="宋体"/>
          <w:kern w:val="0"/>
          <w:sz w:val="22"/>
        </w:rPr>
      </w:pPr>
      <w:r>
        <w:rPr>
          <w:rFonts w:hint="eastAsia" w:ascii="宋体" w:hAnsi="宋体" w:eastAsia="宋体" w:cs="宋体"/>
          <w:kern w:val="0"/>
          <w:sz w:val="22"/>
        </w:rPr>
        <w:t>注：本表反映部门本年度一般公共预算财政拨款支出情况。</w:t>
      </w:r>
    </w:p>
    <w:p>
      <w:pPr>
        <w:widowControl/>
        <w:jc w:val="center"/>
        <w:rPr>
          <w:rFonts w:ascii="华文中宋" w:hAnsi="华文中宋" w:eastAsia="华文中宋" w:cs="宋体"/>
          <w:color w:val="000000"/>
          <w:kern w:val="0"/>
          <w:sz w:val="32"/>
          <w:szCs w:val="32"/>
        </w:rPr>
        <w:sectPr>
          <w:pgSz w:w="16838" w:h="11906" w:orient="landscape"/>
          <w:pgMar w:top="1497" w:right="1803" w:bottom="1440" w:left="1803" w:header="851" w:footer="992" w:gutter="0"/>
          <w:cols w:space="425" w:num="1"/>
          <w:docGrid w:type="lines" w:linePitch="312" w:charSpace="0"/>
        </w:sectPr>
      </w:pPr>
    </w:p>
    <w:tbl>
      <w:tblPr>
        <w:tblStyle w:val="11"/>
        <w:tblW w:w="15017" w:type="dxa"/>
        <w:tblInd w:w="-793" w:type="dxa"/>
        <w:tblLayout w:type="fixed"/>
        <w:tblCellMar>
          <w:top w:w="0" w:type="dxa"/>
          <w:left w:w="108" w:type="dxa"/>
          <w:bottom w:w="0" w:type="dxa"/>
          <w:right w:w="108" w:type="dxa"/>
        </w:tblCellMar>
      </w:tblPr>
      <w:tblGrid>
        <w:gridCol w:w="1090"/>
        <w:gridCol w:w="2700"/>
        <w:gridCol w:w="1245"/>
        <w:gridCol w:w="1125"/>
        <w:gridCol w:w="2130"/>
        <w:gridCol w:w="945"/>
        <w:gridCol w:w="1080"/>
        <w:gridCol w:w="3714"/>
        <w:gridCol w:w="988"/>
      </w:tblGrid>
      <w:tr>
        <w:tblPrEx>
          <w:tblCellMar>
            <w:top w:w="0" w:type="dxa"/>
            <w:left w:w="108" w:type="dxa"/>
            <w:bottom w:w="0" w:type="dxa"/>
            <w:right w:w="108" w:type="dxa"/>
          </w:tblCellMar>
        </w:tblPrEx>
        <w:trPr>
          <w:trHeight w:val="113" w:hRule="atLeast"/>
        </w:trPr>
        <w:tc>
          <w:tcPr>
            <w:tcW w:w="15017" w:type="dxa"/>
            <w:gridSpan w:val="9"/>
            <w:tcBorders>
              <w:top w:val="nil"/>
              <w:left w:val="nil"/>
              <w:bottom w:val="nil"/>
              <w:right w:val="nil"/>
            </w:tcBorders>
            <w:shd w:val="clear" w:color="auto" w:fill="auto"/>
            <w:noWrap/>
            <w:vAlign w:val="center"/>
          </w:tcPr>
          <w:p>
            <w:pPr>
              <w:widowControl/>
              <w:jc w:val="center"/>
              <w:rPr>
                <w:rFonts w:ascii="Times New Roman" w:hAnsi="Times New Roman" w:eastAsia="方正小标宋_GBK" w:cs="Times New Roman"/>
                <w:kern w:val="0"/>
                <w:sz w:val="32"/>
                <w:szCs w:val="32"/>
              </w:rPr>
            </w:pPr>
            <w:bookmarkStart w:id="2" w:name="RANGE!A1:I34"/>
            <w:r>
              <w:rPr>
                <w:rFonts w:hint="eastAsia" w:ascii="Times New Roman" w:hAnsi="Times New Roman" w:eastAsia="方正小标宋_GBK" w:cs="Times New Roman"/>
                <w:kern w:val="0"/>
                <w:sz w:val="32"/>
                <w:szCs w:val="32"/>
              </w:rPr>
              <w:t>一般公共预算财政拨款基本支出决算表</w:t>
            </w:r>
            <w:bookmarkEnd w:id="2"/>
          </w:p>
          <w:p>
            <w:pPr>
              <w:jc w:val="right"/>
              <w:rPr>
                <w:rFonts w:ascii="宋体" w:hAnsi="宋体" w:eastAsia="宋体" w:cs="宋体"/>
                <w:color w:val="000000"/>
                <w:kern w:val="0"/>
                <w:sz w:val="22"/>
              </w:rPr>
            </w:pPr>
            <w:r>
              <w:rPr>
                <w:rFonts w:hint="eastAsia" w:ascii="宋体" w:hAnsi="宋体" w:eastAsia="宋体" w:cs="宋体"/>
                <w:color w:val="000000"/>
                <w:kern w:val="0"/>
                <w:sz w:val="22"/>
              </w:rPr>
              <w:t>公开06表</w:t>
            </w:r>
          </w:p>
          <w:p>
            <w:pPr>
              <w:widowControl/>
              <w:jc w:val="center"/>
              <w:rPr>
                <w:rFonts w:ascii="华文中宋" w:hAnsi="华文中宋" w:eastAsia="华文中宋" w:cs="宋体"/>
                <w:color w:val="000000"/>
                <w:kern w:val="0"/>
                <w:szCs w:val="32"/>
              </w:rPr>
            </w:pPr>
            <w:r>
              <w:rPr>
                <w:rFonts w:hint="eastAsia" w:ascii="宋体" w:hAnsi="宋体" w:eastAsia="宋体" w:cs="宋体"/>
                <w:color w:val="000000"/>
                <w:kern w:val="0"/>
                <w:sz w:val="22"/>
              </w:rPr>
              <w:t xml:space="preserve">      单位：湖南省科学技术信息研究所                                                                                        单位：万元</w:t>
            </w:r>
          </w:p>
        </w:tc>
      </w:tr>
      <w:tr>
        <w:tblPrEx>
          <w:tblCellMar>
            <w:top w:w="0" w:type="dxa"/>
            <w:left w:w="108" w:type="dxa"/>
            <w:bottom w:w="0" w:type="dxa"/>
            <w:right w:w="108" w:type="dxa"/>
          </w:tblCellMar>
        </w:tblPrEx>
        <w:trPr>
          <w:trHeight w:val="113" w:hRule="atLeast"/>
        </w:trPr>
        <w:tc>
          <w:tcPr>
            <w:tcW w:w="1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4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1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4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71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工资福利支出</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1,098.10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商品和服务支出</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54.11</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债务利息及费用支出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30101</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基本工资</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393.45</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30201</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办公费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2.20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30701</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国内债务付息</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30102</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津贴补贴</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38.75</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30202</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印刷费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2.15</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30702</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国外债务付息</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30103</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奖金</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30203</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咨询费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资本性支出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2.56</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30106</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伙食补助费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30204</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手续费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31001</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房屋建筑物购建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30107</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绩效工资</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277.20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30205</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水费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2.45</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31002</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办公设备购置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2.56</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30108</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机关事业单位基本养老保险缴费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133.94</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30206</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电费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7.00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31003</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专用设备购置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30109</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职业年金缴费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34.62</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30207</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邮电费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0.15</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31005</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基础设施建设</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30110</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职工基本医疗保险缴费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60.40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30208</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取暖费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31006</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大型修缮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30111</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公务员医疗补助缴费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30209</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物业管理费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1.89</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31007</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信息网络及软件购置更新</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30112</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其他社会保障缴费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44.69</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30211</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差旅费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5.13</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31008</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物资储备</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30113</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住房公积金</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115.00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30212</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因公出国（境）费用</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31009</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土地补偿</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30114</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医疗费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30213</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维修（护）费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13.32</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31010</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安置补助</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30199</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其他工资福利支出</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0.04</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30214</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租赁费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31011</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地上附着物和青苗补偿</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对个人和家庭的补助</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183.82</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30215</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会议费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31012</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拆迁补偿</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30301</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离休费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35.15</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30216</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培训费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0.01</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31013</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公务用车购置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30302</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退休费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97.99</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30217</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公务接待费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0.74</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31019</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其他交通工具购置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30303</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退职（役）费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30218</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专用材料费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31021</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文物和陈列品购置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30304</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抚恤金</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30224</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被装购置费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31022</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无形资产购置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30305</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生活补助</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2.70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30225</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专用燃料费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31099</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其他资本性支出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30306</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救济费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30226</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劳务费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0.86</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30307</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医疗费补助</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33.38</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30227</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委托业务费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39906</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赠与</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30308</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助学金</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30228</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工会经费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39907</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国家赔偿费用支出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30309</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奖励金</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30229</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福利费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39908</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对民间非营利组织和群众性自治组织补贴</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30310</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个人农业生产补贴</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30231</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公务用车运行维护费</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6.00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39999</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30311</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代缴社会保险费</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30239</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其他交通费用</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7.00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8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30399</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其他对个人和家庭的补助</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14.60</w:t>
            </w: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30240</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税金及附加费用</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8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284" w:hRule="exact"/>
        </w:trPr>
        <w:tc>
          <w:tcPr>
            <w:tcW w:w="10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7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22"/>
              </w:rPr>
            </w:pPr>
          </w:p>
        </w:tc>
        <w:tc>
          <w:tcPr>
            <w:tcW w:w="1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30299</w:t>
            </w:r>
          </w:p>
        </w:tc>
        <w:tc>
          <w:tcPr>
            <w:tcW w:w="213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其他商品和服务支出</w:t>
            </w:r>
          </w:p>
        </w:tc>
        <w:tc>
          <w:tcPr>
            <w:tcW w:w="9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5.21</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7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8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22"/>
              </w:rPr>
            </w:pPr>
          </w:p>
        </w:tc>
      </w:tr>
      <w:tr>
        <w:tblPrEx>
          <w:tblCellMar>
            <w:top w:w="0" w:type="dxa"/>
            <w:left w:w="108" w:type="dxa"/>
            <w:bottom w:w="0" w:type="dxa"/>
            <w:right w:w="108" w:type="dxa"/>
          </w:tblCellMar>
        </w:tblPrEx>
        <w:trPr>
          <w:trHeight w:val="284" w:hRule="exact"/>
        </w:trPr>
        <w:tc>
          <w:tcPr>
            <w:tcW w:w="37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人员经费合计</w:t>
            </w:r>
          </w:p>
        </w:tc>
        <w:tc>
          <w:tcPr>
            <w:tcW w:w="12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1,281.92</w:t>
            </w:r>
          </w:p>
        </w:tc>
        <w:tc>
          <w:tcPr>
            <w:tcW w:w="8994"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公用经费合计</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56.67</w:t>
            </w:r>
          </w:p>
        </w:tc>
      </w:tr>
      <w:tr>
        <w:tblPrEx>
          <w:tblCellMar>
            <w:top w:w="0" w:type="dxa"/>
            <w:left w:w="108" w:type="dxa"/>
            <w:bottom w:w="0" w:type="dxa"/>
            <w:right w:w="108" w:type="dxa"/>
          </w:tblCellMar>
        </w:tblPrEx>
        <w:trPr>
          <w:trHeight w:val="284" w:hRule="exact"/>
        </w:trPr>
        <w:tc>
          <w:tcPr>
            <w:tcW w:w="15017"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 w:val="22"/>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sectPr>
          <w:pgSz w:w="16838" w:h="11906" w:orient="landscape"/>
          <w:pgMar w:top="737" w:right="1803" w:bottom="737" w:left="1803" w:header="851" w:footer="992" w:gutter="0"/>
          <w:cols w:space="0" w:num="1"/>
          <w:docGrid w:type="lines" w:linePitch="312" w:charSpace="0"/>
        </w:sectPr>
      </w:pPr>
    </w:p>
    <w:p>
      <w:pPr>
        <w:widowControl/>
        <w:jc w:val="center"/>
        <w:rPr>
          <w:rFonts w:ascii="Times New Roman" w:hAnsi="Times New Roman" w:eastAsia="方正小标宋_GBK" w:cs="Times New Roman"/>
          <w:color w:val="000000"/>
          <w:kern w:val="0"/>
          <w:sz w:val="32"/>
          <w:szCs w:val="32"/>
        </w:rPr>
      </w:pPr>
      <w:r>
        <w:rPr>
          <w:rFonts w:hint="eastAsia" w:ascii="Times New Roman" w:hAnsi="Times New Roman" w:eastAsia="方正小标宋_GBK" w:cs="Times New Roman"/>
          <w:color w:val="000000"/>
          <w:kern w:val="0"/>
          <w:sz w:val="32"/>
          <w:szCs w:val="32"/>
        </w:rPr>
        <w:t>一般公共预算财政拨款“三公”经费支出决算表</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                                                                                公开07表</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单位：万元</w:t>
      </w:r>
    </w:p>
    <w:tbl>
      <w:tblPr>
        <w:tblStyle w:val="11"/>
        <w:tblW w:w="14171" w:type="dxa"/>
        <w:jc w:val="center"/>
        <w:tblLayout w:type="autofit"/>
        <w:tblCellMar>
          <w:top w:w="0" w:type="dxa"/>
          <w:left w:w="108" w:type="dxa"/>
          <w:bottom w:w="0" w:type="dxa"/>
          <w:right w:w="108" w:type="dxa"/>
        </w:tblCellMar>
      </w:tblPr>
      <w:tblGrid>
        <w:gridCol w:w="1220"/>
        <w:gridCol w:w="1220"/>
        <w:gridCol w:w="1220"/>
        <w:gridCol w:w="1220"/>
        <w:gridCol w:w="1220"/>
        <w:gridCol w:w="887"/>
        <w:gridCol w:w="1084"/>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6987"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ind w:right="420"/>
              <w:jc w:val="center"/>
              <w:rPr>
                <w:rFonts w:ascii="宋体" w:hAnsi="宋体" w:eastAsia="宋体" w:cs="宋体"/>
                <w:kern w:val="0"/>
                <w:sz w:val="22"/>
              </w:rPr>
            </w:pPr>
            <w:r>
              <w:rPr>
                <w:rFonts w:hint="eastAsia" w:ascii="宋体" w:hAnsi="宋体" w:eastAsia="宋体" w:cs="宋体"/>
                <w:kern w:val="0"/>
                <w:sz w:val="22"/>
              </w:rPr>
              <w:t>预算数</w:t>
            </w:r>
          </w:p>
        </w:tc>
        <w:tc>
          <w:tcPr>
            <w:tcW w:w="7184"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公务用车购置及运行费</w:t>
            </w:r>
          </w:p>
        </w:tc>
        <w:tc>
          <w:tcPr>
            <w:tcW w:w="8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w:t>
            </w:r>
          </w:p>
          <w:p>
            <w:pPr>
              <w:widowControl/>
              <w:jc w:val="center"/>
              <w:rPr>
                <w:rFonts w:ascii="宋体" w:hAnsi="宋体" w:eastAsia="宋体" w:cs="宋体"/>
                <w:kern w:val="0"/>
                <w:sz w:val="22"/>
              </w:rPr>
            </w:pPr>
            <w:r>
              <w:rPr>
                <w:rFonts w:hint="eastAsia" w:ascii="宋体" w:hAnsi="宋体" w:eastAsia="宋体" w:cs="宋体"/>
                <w:kern w:val="0"/>
                <w:sz w:val="22"/>
              </w:rPr>
              <w:t>接待费</w:t>
            </w:r>
          </w:p>
        </w:tc>
        <w:tc>
          <w:tcPr>
            <w:tcW w:w="1084"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w:t>
            </w:r>
          </w:p>
          <w:p>
            <w:pPr>
              <w:widowControl/>
              <w:jc w:val="center"/>
              <w:rPr>
                <w:rFonts w:ascii="宋体" w:hAnsi="宋体" w:eastAsia="宋体" w:cs="宋体"/>
                <w:kern w:val="0"/>
                <w:sz w:val="22"/>
              </w:rPr>
            </w:pPr>
            <w:r>
              <w:rPr>
                <w:rFonts w:hint="eastAsia" w:ascii="宋体" w:hAnsi="宋体" w:eastAsia="宋体" w:cs="宋体"/>
                <w:kern w:val="0"/>
                <w:sz w:val="22"/>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eastAsia="宋体" w:cs="宋体"/>
                <w:kern w:val="0"/>
                <w:sz w:val="22"/>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运行费</w:t>
            </w:r>
          </w:p>
        </w:tc>
        <w:tc>
          <w:tcPr>
            <w:tcW w:w="8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084"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kern w:val="0"/>
                <w:sz w:val="22"/>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88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16.00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6.00</w:t>
            </w:r>
          </w:p>
        </w:tc>
        <w:tc>
          <w:tcPr>
            <w:tcW w:w="88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2.00</w:t>
            </w:r>
          </w:p>
        </w:tc>
        <w:tc>
          <w:tcPr>
            <w:tcW w:w="1084"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16.74</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16.00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6.00</w:t>
            </w:r>
          </w:p>
        </w:tc>
        <w:tc>
          <w:tcPr>
            <w:tcW w:w="1220"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0.74</w:t>
            </w:r>
          </w:p>
        </w:tc>
      </w:tr>
    </w:tbl>
    <w:p>
      <w:pPr>
        <w:widowControl/>
        <w:jc w:val="left"/>
        <w:rPr>
          <w:rFonts w:ascii="宋体" w:hAnsi="宋体" w:eastAsia="宋体" w:cs="宋体"/>
          <w:kern w:val="0"/>
          <w:sz w:val="22"/>
        </w:rPr>
      </w:pPr>
    </w:p>
    <w:p>
      <w:pPr>
        <w:widowControl/>
        <w:jc w:val="left"/>
        <w:rPr>
          <w:rFonts w:hint="eastAsia" w:ascii="宋体" w:hAnsi="宋体" w:eastAsia="宋体" w:cs="宋体"/>
          <w:kern w:val="0"/>
          <w:sz w:val="22"/>
        </w:rPr>
      </w:pPr>
      <w:r>
        <w:rPr>
          <w:rFonts w:hint="eastAsia" w:ascii="宋体" w:hAnsi="宋体" w:eastAsia="宋体" w:cs="宋体"/>
          <w:kern w:val="0"/>
          <w:sz w:val="22"/>
        </w:rPr>
        <w:t>注：本表反映部门本年度“三公”经费支出预决算情况。其中，预算数为“三公”经费全年预算数，反映按规定程序调整后的预算数；决算数是包括当年一般公共预算财政拨款和以前年度结转资金安排的实际支出。</w:t>
      </w: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left"/>
        <w:rPr>
          <w:rFonts w:hint="eastAsia" w:ascii="宋体" w:hAnsi="宋体" w:eastAsia="宋体" w:cs="宋体"/>
          <w:kern w:val="0"/>
          <w:sz w:val="22"/>
        </w:rPr>
      </w:pPr>
    </w:p>
    <w:p>
      <w:pPr>
        <w:widowControl/>
        <w:jc w:val="center"/>
        <w:rPr>
          <w:rFonts w:ascii="Times New Roman" w:hAnsi="Times New Roman" w:eastAsia="方正小标宋_GBK" w:cs="Times New Roman"/>
          <w:kern w:val="0"/>
          <w:sz w:val="32"/>
          <w:szCs w:val="32"/>
        </w:rPr>
      </w:pPr>
      <w:r>
        <w:rPr>
          <w:rFonts w:ascii="Times New Roman" w:hAnsi="Times New Roman" w:eastAsia="方正小标宋_GBK" w:cs="Times New Roman"/>
          <w:kern w:val="0"/>
          <w:sz w:val="32"/>
          <w:szCs w:val="32"/>
        </w:rPr>
        <w:t>政</w:t>
      </w:r>
      <w:r>
        <w:rPr>
          <w:rFonts w:hint="eastAsia" w:ascii="Times New Roman" w:hAnsi="Times New Roman" w:eastAsia="方正小标宋_GBK" w:cs="Times New Roman"/>
          <w:color w:val="000000"/>
          <w:kern w:val="0"/>
          <w:sz w:val="32"/>
          <w:szCs w:val="32"/>
        </w:rPr>
        <w:t>府性基金预算财政拨款收入支出决算</w:t>
      </w:r>
      <w:r>
        <w:rPr>
          <w:rFonts w:ascii="Times New Roman" w:hAnsi="Times New Roman" w:eastAsia="方正小标宋_GBK" w:cs="Times New Roman"/>
          <w:kern w:val="0"/>
          <w:sz w:val="32"/>
          <w:szCs w:val="32"/>
        </w:rPr>
        <w:t>表</w:t>
      </w:r>
    </w:p>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w:t>
      </w:r>
      <w:r>
        <w:rPr>
          <w:rFonts w:hint="eastAsia" w:ascii="仿宋_GB2312" w:hAnsi="仿宋_GB2312" w:eastAsia="仿宋_GB2312" w:cs="仿宋_GB2312"/>
          <w:color w:val="000000"/>
          <w:kern w:val="0"/>
          <w:sz w:val="22"/>
        </w:rPr>
        <w:t xml:space="preserve"> </w:t>
      </w:r>
      <w:r>
        <w:rPr>
          <w:rFonts w:ascii="Times New Roman" w:hAnsi="Times New Roman" w:eastAsia="仿宋_GB2312" w:cs="Times New Roman"/>
          <w:color w:val="000000"/>
          <w:kern w:val="0"/>
          <w:sz w:val="22"/>
        </w:rPr>
        <w:t xml:space="preserve">                                                                              </w:t>
      </w:r>
      <w:r>
        <w:rPr>
          <w:rFonts w:hint="eastAsia" w:ascii="宋体" w:hAnsi="宋体" w:eastAsia="宋体" w:cs="宋体"/>
          <w:color w:val="000000"/>
          <w:kern w:val="0"/>
          <w:sz w:val="22"/>
        </w:rPr>
        <w:t xml:space="preserve">   公开08表  单位：万元    </w:t>
      </w:r>
    </w:p>
    <w:tbl>
      <w:tblPr>
        <w:tblStyle w:val="11"/>
        <w:tblpPr w:leftFromText="180" w:rightFromText="180" w:vertAnchor="text" w:horzAnchor="page" w:tblpX="1361" w:tblpY="217"/>
        <w:tblOverlap w:val="never"/>
        <w:tblW w:w="14549" w:type="dxa"/>
        <w:tblInd w:w="0" w:type="dxa"/>
        <w:tblLayout w:type="fixed"/>
        <w:tblCellMar>
          <w:top w:w="0" w:type="dxa"/>
          <w:left w:w="108" w:type="dxa"/>
          <w:bottom w:w="0" w:type="dxa"/>
          <w:right w:w="108" w:type="dxa"/>
        </w:tblCellMar>
      </w:tblPr>
      <w:tblGrid>
        <w:gridCol w:w="1045"/>
        <w:gridCol w:w="5205"/>
        <w:gridCol w:w="1439"/>
        <w:gridCol w:w="1469"/>
        <w:gridCol w:w="1319"/>
        <w:gridCol w:w="1300"/>
        <w:gridCol w:w="1372"/>
        <w:gridCol w:w="1400"/>
      </w:tblGrid>
      <w:tr>
        <w:tblPrEx>
          <w:tblCellMar>
            <w:top w:w="0" w:type="dxa"/>
            <w:left w:w="108" w:type="dxa"/>
            <w:bottom w:w="0" w:type="dxa"/>
            <w:right w:w="108" w:type="dxa"/>
          </w:tblCellMar>
        </w:tblPrEx>
        <w:trPr>
          <w:trHeight w:val="90" w:hRule="atLeast"/>
        </w:trPr>
        <w:tc>
          <w:tcPr>
            <w:tcW w:w="625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w:t>
            </w:r>
          </w:p>
        </w:tc>
        <w:tc>
          <w:tcPr>
            <w:tcW w:w="1439"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年初结转和结余</w:t>
            </w:r>
          </w:p>
        </w:tc>
        <w:tc>
          <w:tcPr>
            <w:tcW w:w="1469"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本年收入</w:t>
            </w:r>
          </w:p>
        </w:tc>
        <w:tc>
          <w:tcPr>
            <w:tcW w:w="3991" w:type="dxa"/>
            <w:gridSpan w:val="3"/>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本年支出</w:t>
            </w:r>
          </w:p>
        </w:tc>
        <w:tc>
          <w:tcPr>
            <w:tcW w:w="1400"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年末结转和结余</w:t>
            </w:r>
          </w:p>
        </w:tc>
      </w:tr>
      <w:tr>
        <w:tblPrEx>
          <w:tblCellMar>
            <w:top w:w="0" w:type="dxa"/>
            <w:left w:w="108" w:type="dxa"/>
            <w:bottom w:w="0" w:type="dxa"/>
            <w:right w:w="108" w:type="dxa"/>
          </w:tblCellMar>
        </w:tblPrEx>
        <w:trPr>
          <w:trHeight w:val="300" w:hRule="atLeast"/>
        </w:trPr>
        <w:tc>
          <w:tcPr>
            <w:tcW w:w="1045"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功能分类科目编码</w:t>
            </w:r>
          </w:p>
        </w:tc>
        <w:tc>
          <w:tcPr>
            <w:tcW w:w="520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科目名称</w:t>
            </w:r>
          </w:p>
        </w:tc>
        <w:tc>
          <w:tcPr>
            <w:tcW w:w="143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46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31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小计</w:t>
            </w:r>
          </w:p>
        </w:tc>
        <w:tc>
          <w:tcPr>
            <w:tcW w:w="13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基本支出</w:t>
            </w:r>
          </w:p>
        </w:tc>
        <w:tc>
          <w:tcPr>
            <w:tcW w:w="137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项目支出</w:t>
            </w:r>
          </w:p>
        </w:tc>
        <w:tc>
          <w:tcPr>
            <w:tcW w:w="1400" w:type="dxa"/>
            <w:vMerge w:val="continue"/>
            <w:tcBorders>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00" w:hRule="atLeast"/>
        </w:trPr>
        <w:tc>
          <w:tcPr>
            <w:tcW w:w="625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栏次</w:t>
            </w:r>
          </w:p>
        </w:tc>
        <w:tc>
          <w:tcPr>
            <w:tcW w:w="143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14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31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30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137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w:t>
            </w:r>
          </w:p>
        </w:tc>
        <w:tc>
          <w:tcPr>
            <w:tcW w:w="1400"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w:t>
            </w:r>
          </w:p>
        </w:tc>
      </w:tr>
      <w:tr>
        <w:tblPrEx>
          <w:tblCellMar>
            <w:top w:w="0" w:type="dxa"/>
            <w:left w:w="108" w:type="dxa"/>
            <w:bottom w:w="0" w:type="dxa"/>
            <w:right w:w="108" w:type="dxa"/>
          </w:tblCellMar>
        </w:tblPrEx>
        <w:trPr>
          <w:trHeight w:val="300" w:hRule="atLeast"/>
        </w:trPr>
        <w:tc>
          <w:tcPr>
            <w:tcW w:w="625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合计</w:t>
            </w:r>
          </w:p>
        </w:tc>
        <w:tc>
          <w:tcPr>
            <w:tcW w:w="143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sz w:val="22"/>
              </w:rPr>
            </w:pPr>
          </w:p>
        </w:tc>
        <w:tc>
          <w:tcPr>
            <w:tcW w:w="146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sz w:val="22"/>
              </w:rPr>
            </w:pPr>
          </w:p>
        </w:tc>
        <w:tc>
          <w:tcPr>
            <w:tcW w:w="131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sz w:val="22"/>
              </w:rPr>
            </w:pPr>
          </w:p>
        </w:tc>
        <w:tc>
          <w:tcPr>
            <w:tcW w:w="13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sz w:val="22"/>
              </w:rPr>
            </w:pPr>
          </w:p>
        </w:tc>
        <w:tc>
          <w:tcPr>
            <w:tcW w:w="137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sz w:val="22"/>
              </w:rPr>
            </w:pPr>
          </w:p>
        </w:tc>
        <w:tc>
          <w:tcPr>
            <w:tcW w:w="14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sz w:val="22"/>
              </w:rPr>
            </w:pPr>
          </w:p>
        </w:tc>
      </w:tr>
    </w:tbl>
    <w:p>
      <w:pPr>
        <w:widowControl/>
        <w:jc w:val="right"/>
        <w:rPr>
          <w:rFonts w:ascii="Times New Roman" w:hAnsi="Times New Roman" w:eastAsia="仿宋_GB2312" w:cs="Times New Roman"/>
          <w:color w:val="000000"/>
          <w:kern w:val="0"/>
          <w:sz w:val="22"/>
        </w:rPr>
      </w:pP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注：本表反映部门本年度政府性基金预算财政拨款收入、支出及结转和结余情况</w:t>
      </w:r>
    </w:p>
    <w:p>
      <w:pPr>
        <w:pStyle w:val="3"/>
        <w:rPr>
          <w:rFonts w:hint="eastAsia" w:ascii="宋体" w:hAnsi="宋体" w:eastAsia="宋体" w:cs="宋体"/>
          <w:b w:val="0"/>
          <w:bCs w:val="0"/>
          <w:i w:val="0"/>
          <w:color w:val="000000"/>
          <w:kern w:val="0"/>
          <w:sz w:val="22"/>
          <w:szCs w:val="22"/>
          <w:u w:val="none"/>
          <w:lang w:val="en-US" w:eastAsia="zh-CN" w:bidi="ar-SA"/>
        </w:rPr>
      </w:pPr>
      <w:r>
        <w:rPr>
          <w:rFonts w:hint="eastAsia" w:ascii="宋体" w:hAnsi="宋体" w:eastAsia="宋体" w:cs="宋体"/>
          <w:b w:val="0"/>
          <w:bCs w:val="0"/>
          <w:i w:val="0"/>
          <w:color w:val="000000"/>
          <w:kern w:val="0"/>
          <w:sz w:val="22"/>
          <w:szCs w:val="22"/>
          <w:u w:val="none"/>
          <w:lang w:val="en-US" w:eastAsia="zh-CN" w:bidi="ar-SA"/>
        </w:rPr>
        <w:t>说明：我单位</w:t>
      </w:r>
      <w:r>
        <w:rPr>
          <w:rFonts w:hint="eastAsia" w:ascii="宋体" w:hAnsi="宋体" w:cs="宋体"/>
          <w:b w:val="0"/>
          <w:bCs w:val="0"/>
          <w:i w:val="0"/>
          <w:color w:val="000000"/>
          <w:kern w:val="0"/>
          <w:sz w:val="22"/>
          <w:szCs w:val="22"/>
          <w:u w:val="none"/>
          <w:lang w:val="en-US" w:eastAsia="zh-CN" w:bidi="ar-SA"/>
        </w:rPr>
        <w:t>无</w:t>
      </w:r>
      <w:r>
        <w:rPr>
          <w:rFonts w:hint="eastAsia" w:ascii="宋体" w:hAnsi="宋体" w:eastAsia="宋体" w:cs="宋体"/>
          <w:b w:val="0"/>
          <w:bCs w:val="0"/>
          <w:i w:val="0"/>
          <w:color w:val="000000"/>
          <w:kern w:val="0"/>
          <w:sz w:val="22"/>
          <w:szCs w:val="22"/>
          <w:u w:val="none"/>
          <w:lang w:val="en-US" w:eastAsia="zh-CN" w:bidi="ar-SA"/>
        </w:rPr>
        <w:t>政府性基金预算财政拨款收入支出，故本表无数据。</w:t>
      </w:r>
    </w:p>
    <w:p>
      <w:pPr>
        <w:pStyle w:val="3"/>
        <w:ind w:firstLine="321" w:firstLineChars="100"/>
        <w:rPr>
          <w:rFonts w:hint="eastAsia" w:ascii="宋体" w:hAnsi="宋体" w:eastAsia="宋体" w:cs="宋体"/>
          <w:b w:val="0"/>
          <w:bCs w:val="0"/>
          <w:i w:val="0"/>
          <w:color w:val="000000"/>
          <w:kern w:val="0"/>
          <w:sz w:val="24"/>
          <w:szCs w:val="24"/>
          <w:u w:val="none"/>
          <w:lang w:val="en-US" w:eastAsia="zh-CN" w:bidi="ar-SA"/>
        </w:rPr>
      </w:pPr>
      <w:r>
        <w:rPr>
          <w:rFonts w:ascii="黑体" w:hAnsi="黑体" w:eastAsia="黑体"/>
          <w:szCs w:val="21"/>
        </w:rPr>
        <w:br w:type="page"/>
      </w:r>
    </w:p>
    <w:p>
      <w:pPr>
        <w:widowControl/>
        <w:jc w:val="left"/>
        <w:rPr>
          <w:rFonts w:ascii="黑体" w:hAnsi="黑体" w:eastAsia="黑体"/>
          <w:szCs w:val="21"/>
        </w:rPr>
      </w:pPr>
    </w:p>
    <w:p>
      <w:pPr>
        <w:widowControl/>
        <w:jc w:val="center"/>
        <w:rPr>
          <w:rFonts w:ascii="华文中宋" w:hAnsi="华文中宋" w:eastAsia="华文中宋" w:cs="宋体"/>
          <w:sz w:val="32"/>
          <w:szCs w:val="32"/>
        </w:rPr>
      </w:pPr>
      <w:r>
        <w:rPr>
          <w:rFonts w:hint="eastAsia" w:ascii="Times New Roman" w:hAnsi="Times New Roman" w:eastAsia="方正小标宋_GBK" w:cs="Times New Roman"/>
          <w:sz w:val="32"/>
          <w:szCs w:val="32"/>
        </w:rPr>
        <w:t>国有资本经营预算财政拨款支出决算表</w:t>
      </w:r>
    </w:p>
    <w:p>
      <w:pPr>
        <w:widowControl/>
        <w:wordWrap w:val="0"/>
        <w:jc w:val="right"/>
        <w:rPr>
          <w:rFonts w:ascii="宋体" w:hAnsi="宋体" w:eastAsia="宋体" w:cs="宋体"/>
          <w:color w:val="000000"/>
          <w:kern w:val="0"/>
          <w:sz w:val="22"/>
        </w:rPr>
      </w:pPr>
      <w:r>
        <w:rPr>
          <w:rFonts w:hint="eastAsia" w:ascii="宋体" w:hAnsi="宋体" w:eastAsia="宋体" w:cs="宋体"/>
          <w:color w:val="000000"/>
          <w:kern w:val="0"/>
          <w:sz w:val="22"/>
        </w:rPr>
        <w:t>单位：湖南省科学技术信息研究所</w:t>
      </w:r>
      <w:r>
        <w:rPr>
          <w:rFonts w:hint="eastAsia" w:ascii="仿宋_GB2312" w:hAnsi="仿宋_GB2312" w:eastAsia="仿宋_GB2312" w:cs="仿宋_GB2312"/>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宋体" w:hAnsi="宋体" w:eastAsia="宋体" w:cs="宋体"/>
          <w:color w:val="000000"/>
          <w:kern w:val="0"/>
          <w:sz w:val="22"/>
        </w:rPr>
        <w:t xml:space="preserve">            公开09表</w:t>
      </w:r>
    </w:p>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单位：万元</w:t>
      </w:r>
    </w:p>
    <w:tbl>
      <w:tblPr>
        <w:tblStyle w:val="11"/>
        <w:tblW w:w="13456" w:type="dxa"/>
        <w:tblInd w:w="93" w:type="dxa"/>
        <w:tblLayout w:type="autofit"/>
        <w:tblCellMar>
          <w:top w:w="0" w:type="dxa"/>
          <w:left w:w="108" w:type="dxa"/>
          <w:bottom w:w="0" w:type="dxa"/>
          <w:right w:w="108" w:type="dxa"/>
        </w:tblCellMar>
      </w:tblPr>
      <w:tblGrid>
        <w:gridCol w:w="1183"/>
        <w:gridCol w:w="5298"/>
        <w:gridCol w:w="2633"/>
        <w:gridCol w:w="2141"/>
        <w:gridCol w:w="2201"/>
      </w:tblGrid>
      <w:tr>
        <w:tblPrEx>
          <w:tblCellMar>
            <w:top w:w="0" w:type="dxa"/>
            <w:left w:w="108" w:type="dxa"/>
            <w:bottom w:w="0" w:type="dxa"/>
            <w:right w:w="108" w:type="dxa"/>
          </w:tblCellMar>
        </w:tblPrEx>
        <w:trPr>
          <w:trHeight w:val="300" w:hRule="atLeast"/>
        </w:trPr>
        <w:tc>
          <w:tcPr>
            <w:tcW w:w="6481"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w:t>
            </w:r>
          </w:p>
        </w:tc>
        <w:tc>
          <w:tcPr>
            <w:tcW w:w="6975" w:type="dxa"/>
            <w:gridSpan w:val="3"/>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本年支出</w:t>
            </w:r>
          </w:p>
        </w:tc>
      </w:tr>
      <w:tr>
        <w:tblPrEx>
          <w:tblCellMar>
            <w:top w:w="0" w:type="dxa"/>
            <w:left w:w="108" w:type="dxa"/>
            <w:bottom w:w="0" w:type="dxa"/>
            <w:right w:w="108" w:type="dxa"/>
          </w:tblCellMar>
        </w:tblPrEx>
        <w:trPr>
          <w:trHeight w:val="322" w:hRule="atLeast"/>
        </w:trPr>
        <w:tc>
          <w:tcPr>
            <w:tcW w:w="1183"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功能分类科目编码</w:t>
            </w:r>
          </w:p>
        </w:tc>
        <w:tc>
          <w:tcPr>
            <w:tcW w:w="5298" w:type="dxa"/>
            <w:vMerge w:val="restart"/>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科目名称</w:t>
            </w:r>
          </w:p>
        </w:tc>
        <w:tc>
          <w:tcPr>
            <w:tcW w:w="263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合计</w:t>
            </w:r>
          </w:p>
        </w:tc>
        <w:tc>
          <w:tcPr>
            <w:tcW w:w="214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基本支出</w:t>
            </w:r>
          </w:p>
        </w:tc>
        <w:tc>
          <w:tcPr>
            <w:tcW w:w="220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项目支出</w:t>
            </w:r>
          </w:p>
        </w:tc>
      </w:tr>
      <w:tr>
        <w:tblPrEx>
          <w:tblCellMar>
            <w:top w:w="0" w:type="dxa"/>
            <w:left w:w="108" w:type="dxa"/>
            <w:bottom w:w="0" w:type="dxa"/>
            <w:right w:w="108" w:type="dxa"/>
          </w:tblCellMar>
        </w:tblPrEx>
        <w:trPr>
          <w:trHeight w:val="322" w:hRule="atLeast"/>
        </w:trPr>
        <w:tc>
          <w:tcPr>
            <w:tcW w:w="118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5298"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263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214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220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22" w:hRule="atLeast"/>
        </w:trPr>
        <w:tc>
          <w:tcPr>
            <w:tcW w:w="118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5298"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263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214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220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300" w:hRule="atLeast"/>
        </w:trPr>
        <w:tc>
          <w:tcPr>
            <w:tcW w:w="6481"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栏次</w:t>
            </w:r>
          </w:p>
        </w:tc>
        <w:tc>
          <w:tcPr>
            <w:tcW w:w="263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214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0" w:type="auto"/>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r>
      <w:tr>
        <w:tblPrEx>
          <w:tblCellMar>
            <w:top w:w="0" w:type="dxa"/>
            <w:left w:w="108" w:type="dxa"/>
            <w:bottom w:w="0" w:type="dxa"/>
            <w:right w:w="108" w:type="dxa"/>
          </w:tblCellMar>
        </w:tblPrEx>
        <w:trPr>
          <w:trHeight w:val="300" w:hRule="atLeast"/>
        </w:trPr>
        <w:tc>
          <w:tcPr>
            <w:tcW w:w="6481"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color w:val="000000"/>
                <w:sz w:val="22"/>
              </w:rPr>
            </w:pPr>
            <w:r>
              <w:rPr>
                <w:rFonts w:hint="eastAsia" w:ascii="宋体" w:hAnsi="宋体" w:eastAsia="宋体" w:cs="宋体"/>
                <w:color w:val="000000"/>
                <w:kern w:val="0"/>
                <w:sz w:val="22"/>
                <w:lang w:bidi="ar"/>
              </w:rPr>
              <w:t>合计</w:t>
            </w:r>
          </w:p>
        </w:tc>
        <w:tc>
          <w:tcPr>
            <w:tcW w:w="263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color w:val="000000"/>
                <w:sz w:val="22"/>
              </w:rPr>
            </w:pPr>
          </w:p>
        </w:tc>
        <w:tc>
          <w:tcPr>
            <w:tcW w:w="2141"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color w:val="000000"/>
                <w:sz w:val="22"/>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color w:val="000000"/>
                <w:sz w:val="22"/>
              </w:rPr>
            </w:pPr>
          </w:p>
        </w:tc>
      </w:tr>
    </w:tbl>
    <w:p>
      <w:pPr>
        <w:pStyle w:val="15"/>
        <w:rPr>
          <w:rFonts w:ascii="宋体" w:hAnsi="宋体" w:eastAsia="宋体" w:cs="宋体"/>
          <w:sz w:val="22"/>
          <w:szCs w:val="22"/>
        </w:rPr>
      </w:pPr>
    </w:p>
    <w:p>
      <w:pPr>
        <w:pStyle w:val="15"/>
        <w:rPr>
          <w:rFonts w:ascii="宋体" w:hAnsi="宋体" w:eastAsia="宋体" w:cs="宋体"/>
          <w:sz w:val="22"/>
          <w:szCs w:val="22"/>
        </w:rPr>
      </w:pPr>
      <w:r>
        <w:rPr>
          <w:rFonts w:hint="eastAsia" w:ascii="宋体" w:hAnsi="宋体" w:eastAsia="宋体" w:cs="宋体"/>
          <w:sz w:val="22"/>
          <w:szCs w:val="22"/>
        </w:rPr>
        <w:t>注：本表反映部门本年度国有资本经营预算财政拨款支出情况。</w:t>
      </w:r>
    </w:p>
    <w:p>
      <w:pPr>
        <w:pStyle w:val="15"/>
        <w:rPr>
          <w:rFonts w:hint="eastAsia" w:ascii="宋体" w:hAnsi="宋体" w:eastAsia="宋体" w:cs="宋体"/>
          <w:sz w:val="22"/>
          <w:szCs w:val="22"/>
          <w:lang w:val="en-US" w:eastAsia="zh-CN"/>
        </w:rPr>
        <w:sectPr>
          <w:pgSz w:w="16838" w:h="11906" w:orient="landscape"/>
          <w:pgMar w:top="1440" w:right="1803" w:bottom="1440" w:left="1803" w:header="851" w:footer="992" w:gutter="0"/>
          <w:cols w:space="0" w:num="1"/>
          <w:docGrid w:type="lines" w:linePitch="322" w:charSpace="0"/>
        </w:sectPr>
      </w:pPr>
      <w:r>
        <w:rPr>
          <w:rFonts w:hint="eastAsia" w:ascii="宋体" w:hAnsi="宋体" w:eastAsia="宋体" w:cs="宋体"/>
          <w:sz w:val="22"/>
          <w:szCs w:val="22"/>
          <w:lang w:val="en-US" w:eastAsia="zh-CN"/>
        </w:rPr>
        <w:t>说明：</w:t>
      </w:r>
      <w:r>
        <w:rPr>
          <w:rFonts w:hint="eastAsia" w:ascii="宋体" w:hAnsi="宋体" w:eastAsia="宋体" w:cs="宋体"/>
          <w:b w:val="0"/>
          <w:bCs w:val="0"/>
          <w:i w:val="0"/>
          <w:color w:val="000000"/>
          <w:kern w:val="0"/>
          <w:sz w:val="22"/>
          <w:szCs w:val="22"/>
          <w:u w:val="none"/>
          <w:lang w:val="en-US" w:eastAsia="zh-CN" w:bidi="ar-SA"/>
        </w:rPr>
        <w:t>我单位无使用国有资本经营预算安排的支出，故本表无数据。</w:t>
      </w:r>
    </w:p>
    <w:p>
      <w:pPr>
        <w:pStyle w:val="15"/>
        <w:rPr>
          <w:sz w:val="72"/>
          <w:szCs w:val="72"/>
        </w:rPr>
      </w:pPr>
    </w:p>
    <w:p>
      <w:pPr>
        <w:pStyle w:val="15"/>
        <w:rPr>
          <w:sz w:val="72"/>
          <w:szCs w:val="72"/>
        </w:rPr>
      </w:pPr>
    </w:p>
    <w:p>
      <w:pPr>
        <w:pStyle w:val="15"/>
        <w:jc w:val="both"/>
        <w:rPr>
          <w:sz w:val="72"/>
          <w:szCs w:val="72"/>
        </w:rPr>
      </w:pPr>
    </w:p>
    <w:p>
      <w:pPr>
        <w:pStyle w:val="15"/>
        <w:jc w:val="center"/>
        <w:rPr>
          <w:rFonts w:hAnsi="黑体"/>
          <w:color w:val="auto"/>
          <w:kern w:val="2"/>
          <w:sz w:val="84"/>
          <w:szCs w:val="84"/>
        </w:rPr>
      </w:pPr>
      <w:r>
        <w:rPr>
          <w:rFonts w:hint="eastAsia" w:hAnsi="黑体"/>
          <w:color w:val="auto"/>
          <w:kern w:val="2"/>
          <w:sz w:val="84"/>
          <w:szCs w:val="84"/>
        </w:rPr>
        <w:t>第三部分</w:t>
      </w:r>
    </w:p>
    <w:p>
      <w:pPr>
        <w:pStyle w:val="15"/>
        <w:jc w:val="center"/>
        <w:rPr>
          <w:sz w:val="70"/>
          <w:szCs w:val="70"/>
        </w:rPr>
      </w:pPr>
    </w:p>
    <w:p>
      <w:pPr>
        <w:pStyle w:val="15"/>
        <w:jc w:val="center"/>
        <w:rPr>
          <w:rFonts w:hAnsi="黑体"/>
          <w:color w:val="auto"/>
          <w:kern w:val="2"/>
          <w:sz w:val="84"/>
          <w:szCs w:val="84"/>
        </w:rPr>
      </w:pPr>
      <w:r>
        <w:rPr>
          <w:rFonts w:hint="eastAsia" w:hAnsi="黑体"/>
          <w:color w:val="auto"/>
          <w:kern w:val="2"/>
          <w:sz w:val="84"/>
          <w:szCs w:val="84"/>
        </w:rPr>
        <w:t>202</w:t>
      </w:r>
      <w:r>
        <w:rPr>
          <w:rFonts w:hint="eastAsia" w:hAnsi="黑体"/>
          <w:color w:val="auto"/>
          <w:kern w:val="2"/>
          <w:sz w:val="84"/>
          <w:szCs w:val="84"/>
          <w:lang w:val="en-US" w:eastAsia="zh-CN"/>
        </w:rPr>
        <w:t>1</w:t>
      </w:r>
      <w:r>
        <w:rPr>
          <w:rFonts w:hint="eastAsia" w:hAnsi="黑体"/>
          <w:color w:val="auto"/>
          <w:kern w:val="2"/>
          <w:sz w:val="84"/>
          <w:szCs w:val="84"/>
        </w:rPr>
        <w:t>年度部门决算</w:t>
      </w:r>
    </w:p>
    <w:p>
      <w:pPr>
        <w:pStyle w:val="15"/>
        <w:jc w:val="center"/>
        <w:rPr>
          <w:rFonts w:hAnsi="黑体"/>
          <w:color w:val="auto"/>
          <w:kern w:val="2"/>
          <w:sz w:val="84"/>
          <w:szCs w:val="84"/>
        </w:rPr>
      </w:pPr>
      <w:r>
        <w:rPr>
          <w:rFonts w:hint="eastAsia" w:hAnsi="黑体"/>
          <w:color w:val="auto"/>
          <w:kern w:val="2"/>
          <w:sz w:val="84"/>
          <w:szCs w:val="84"/>
        </w:rPr>
        <w:t>情况说明</w:t>
      </w:r>
    </w:p>
    <w:p>
      <w:pPr>
        <w:widowControl/>
        <w:jc w:val="left"/>
        <w:rPr>
          <w:rFonts w:ascii="黑体" w:eastAsia="黑体" w:cs="黑体"/>
          <w:color w:val="000000"/>
          <w:kern w:val="0"/>
          <w:sz w:val="70"/>
          <w:szCs w:val="70"/>
        </w:rPr>
      </w:pPr>
      <w:r>
        <w:rPr>
          <w:sz w:val="70"/>
          <w:szCs w:val="70"/>
        </w:rPr>
        <w:br w:type="page"/>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一、收入支出决算总体情况说明</w:t>
      </w:r>
    </w:p>
    <w:p>
      <w:pPr>
        <w:pStyle w:val="15"/>
        <w:keepNext w:val="0"/>
        <w:keepLines w:val="0"/>
        <w:pageBreakBefore w:val="0"/>
        <w:kinsoku/>
        <w:wordWrap/>
        <w:overflowPunct/>
        <w:topLinePunct w:val="0"/>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2021年度收、支总计5933.69万元。与上年相比，减少191.85万元，减幅3.13%，主要原因为2021年单位财政拨款收入减少。</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二、收入决算情况说明</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color w:val="0000FF"/>
          <w:sz w:val="32"/>
          <w:szCs w:val="32"/>
        </w:rPr>
      </w:pPr>
      <w:r>
        <w:rPr>
          <w:rFonts w:hint="eastAsia" w:ascii="仿宋_GB2312" w:hAnsi="仿宋_GB2312" w:eastAsia="仿宋_GB2312" w:cs="仿宋_GB2312"/>
          <w:sz w:val="32"/>
          <w:szCs w:val="32"/>
        </w:rPr>
        <w:t>2021年度收入合计4726.86万元，其中：财政拨款收入2281.81万元，占48.27%；事业收入2440.25万元，占51.62%；其他</w:t>
      </w:r>
      <w:r>
        <w:rPr>
          <w:rFonts w:ascii="仿宋_GB2312" w:hAnsi="仿宋_GB2312" w:eastAsia="仿宋_GB2312" w:cs="仿宋_GB2312"/>
          <w:sz w:val="32"/>
          <w:szCs w:val="32"/>
        </w:rPr>
        <w:t>收入</w:t>
      </w:r>
      <w:r>
        <w:rPr>
          <w:rFonts w:hint="eastAsia" w:ascii="仿宋_GB2312" w:hAnsi="仿宋_GB2312" w:eastAsia="仿宋_GB2312" w:cs="仿宋_GB2312"/>
          <w:sz w:val="32"/>
          <w:szCs w:val="32"/>
        </w:rPr>
        <w:t>4.80</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，占0.11%。</w:t>
      </w:r>
      <w:r>
        <w:rPr>
          <w:rFonts w:hint="eastAsia" w:ascii="仿宋_GB2312" w:hAnsi="仿宋_GB2312" w:eastAsia="仿宋_GB2312" w:cs="仿宋_GB2312"/>
          <w:color w:val="auto"/>
          <w:sz w:val="32"/>
          <w:szCs w:val="32"/>
        </w:rPr>
        <w:t>总收入</w:t>
      </w:r>
      <w:r>
        <w:rPr>
          <w:rFonts w:ascii="仿宋_GB2312" w:hAnsi="仿宋_GB2312" w:eastAsia="仿宋_GB2312" w:cs="仿宋_GB2312"/>
          <w:color w:val="auto"/>
          <w:sz w:val="32"/>
          <w:szCs w:val="32"/>
        </w:rPr>
        <w:t>相比上年</w:t>
      </w:r>
      <w:r>
        <w:rPr>
          <w:rFonts w:hint="eastAsia" w:ascii="仿宋_GB2312" w:hAnsi="仿宋_GB2312" w:eastAsia="仿宋_GB2312" w:cs="仿宋_GB2312"/>
          <w:color w:val="auto"/>
          <w:sz w:val="32"/>
          <w:szCs w:val="32"/>
        </w:rPr>
        <w:t>增加460.63万元，增幅10.79%，主要原因是我所2021年创收能力增加，事业收入增幅明显。</w:t>
      </w:r>
    </w:p>
    <w:p>
      <w:pPr>
        <w:keepNext w:val="0"/>
        <w:keepLines w:val="0"/>
        <w:pageBreakBefore w:val="0"/>
        <w:numPr>
          <w:ilvl w:val="0"/>
          <w:numId w:val="1"/>
        </w:numPr>
        <w:kinsoku/>
        <w:wordWrap/>
        <w:overflowPunct/>
        <w:topLinePunct w:val="0"/>
        <w:bidi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财政拨款收入：</w:t>
      </w:r>
      <w:r>
        <w:rPr>
          <w:rFonts w:hint="eastAsia" w:ascii="仿宋_GB2312" w:hAnsi="仿宋_GB2312" w:eastAsia="仿宋_GB2312" w:cs="仿宋_GB2312"/>
          <w:sz w:val="32"/>
          <w:szCs w:val="32"/>
        </w:rPr>
        <w:t>2021年我所财政拨款收入2281.81万元，其中基本支出1339.85万元、业务工作经费560.00万元、财政性课题381.66万元。</w:t>
      </w:r>
    </w:p>
    <w:p>
      <w:pPr>
        <w:keepNext w:val="0"/>
        <w:keepLines w:val="0"/>
        <w:pageBreakBefore w:val="0"/>
        <w:numPr>
          <w:ilvl w:val="0"/>
          <w:numId w:val="1"/>
        </w:numPr>
        <w:kinsoku/>
        <w:wordWrap/>
        <w:overflowPunct/>
        <w:topLinePunct w:val="0"/>
        <w:bidi w:val="0"/>
        <w:snapToGrid w:val="0"/>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事业收入：2021</w:t>
      </w:r>
      <w:r>
        <w:rPr>
          <w:rFonts w:ascii="仿宋_GB2312" w:hAnsi="仿宋" w:eastAsia="仿宋_GB2312"/>
          <w:sz w:val="32"/>
          <w:szCs w:val="32"/>
        </w:rPr>
        <w:t>年我所</w:t>
      </w:r>
      <w:r>
        <w:rPr>
          <w:rFonts w:hint="eastAsia" w:ascii="仿宋_GB2312" w:hAnsi="仿宋" w:eastAsia="仿宋_GB2312"/>
          <w:sz w:val="32"/>
          <w:szCs w:val="32"/>
        </w:rPr>
        <w:t>事业</w:t>
      </w:r>
      <w:r>
        <w:rPr>
          <w:rFonts w:ascii="仿宋_GB2312" w:hAnsi="仿宋" w:eastAsia="仿宋_GB2312"/>
          <w:sz w:val="32"/>
          <w:szCs w:val="32"/>
        </w:rPr>
        <w:t>收入</w:t>
      </w:r>
      <w:r>
        <w:rPr>
          <w:rFonts w:hint="eastAsia" w:ascii="仿宋_GB2312" w:hAnsi="仿宋" w:eastAsia="仿宋_GB2312"/>
          <w:sz w:val="32"/>
          <w:szCs w:val="32"/>
        </w:rPr>
        <w:t>2440.25</w:t>
      </w:r>
      <w:r>
        <w:rPr>
          <w:rFonts w:ascii="仿宋_GB2312" w:hAnsi="仿宋" w:eastAsia="仿宋_GB2312"/>
          <w:sz w:val="32"/>
          <w:szCs w:val="32"/>
        </w:rPr>
        <w:t>万元，其中</w:t>
      </w:r>
      <w:r>
        <w:rPr>
          <w:rFonts w:hint="eastAsia" w:ascii="仿宋_GB2312" w:hAnsi="仿宋" w:eastAsia="仿宋_GB2312"/>
          <w:sz w:val="32"/>
          <w:szCs w:val="32"/>
        </w:rPr>
        <w:t>政府</w:t>
      </w:r>
      <w:r>
        <w:rPr>
          <w:rFonts w:ascii="仿宋_GB2312" w:hAnsi="仿宋" w:eastAsia="仿宋_GB2312"/>
          <w:sz w:val="32"/>
          <w:szCs w:val="32"/>
        </w:rPr>
        <w:t>购买服务收入</w:t>
      </w:r>
      <w:r>
        <w:rPr>
          <w:rFonts w:hint="eastAsia" w:ascii="仿宋_GB2312" w:hAnsi="仿宋" w:eastAsia="仿宋_GB2312"/>
          <w:sz w:val="32"/>
          <w:szCs w:val="32"/>
        </w:rPr>
        <w:t>899.50</w:t>
      </w:r>
      <w:r>
        <w:rPr>
          <w:rFonts w:ascii="仿宋_GB2312" w:hAnsi="仿宋" w:eastAsia="仿宋_GB2312"/>
          <w:sz w:val="32"/>
          <w:szCs w:val="32"/>
        </w:rPr>
        <w:t>万元</w:t>
      </w:r>
      <w:r>
        <w:rPr>
          <w:rFonts w:hint="eastAsia" w:ascii="仿宋_GB2312" w:hAnsi="仿宋" w:eastAsia="仿宋_GB2312"/>
          <w:sz w:val="32"/>
          <w:szCs w:val="32"/>
        </w:rPr>
        <w:t>、市场</w:t>
      </w:r>
      <w:r>
        <w:rPr>
          <w:rFonts w:ascii="仿宋_GB2312" w:hAnsi="仿宋" w:eastAsia="仿宋_GB2312"/>
          <w:sz w:val="32"/>
          <w:szCs w:val="32"/>
        </w:rPr>
        <w:t>创收</w:t>
      </w:r>
      <w:r>
        <w:rPr>
          <w:rFonts w:hint="eastAsia" w:ascii="仿宋_GB2312" w:hAnsi="仿宋" w:eastAsia="仿宋_GB2312"/>
          <w:sz w:val="32"/>
          <w:szCs w:val="32"/>
        </w:rPr>
        <w:t>1410.83</w:t>
      </w:r>
      <w:r>
        <w:rPr>
          <w:rFonts w:ascii="仿宋_GB2312" w:hAnsi="仿宋" w:eastAsia="仿宋_GB2312"/>
          <w:sz w:val="32"/>
          <w:szCs w:val="32"/>
        </w:rPr>
        <w:t>万元</w:t>
      </w:r>
      <w:r>
        <w:rPr>
          <w:rFonts w:hint="eastAsia" w:ascii="仿宋_GB2312" w:hAnsi="仿宋" w:eastAsia="仿宋_GB2312"/>
          <w:sz w:val="32"/>
          <w:szCs w:val="32"/>
        </w:rPr>
        <w:t>、</w:t>
      </w:r>
      <w:r>
        <w:rPr>
          <w:rFonts w:ascii="仿宋_GB2312" w:hAnsi="仿宋" w:eastAsia="仿宋_GB2312"/>
          <w:sz w:val="32"/>
          <w:szCs w:val="32"/>
        </w:rPr>
        <w:t>课题收入</w:t>
      </w:r>
      <w:r>
        <w:rPr>
          <w:rFonts w:hint="eastAsia" w:ascii="仿宋_GB2312" w:hAnsi="仿宋" w:eastAsia="仿宋_GB2312"/>
          <w:sz w:val="32"/>
          <w:szCs w:val="32"/>
        </w:rPr>
        <w:t>129.92万元。</w:t>
      </w:r>
    </w:p>
    <w:p>
      <w:pPr>
        <w:keepNext w:val="0"/>
        <w:keepLines w:val="0"/>
        <w:pageBreakBefore w:val="0"/>
        <w:numPr>
          <w:ilvl w:val="0"/>
          <w:numId w:val="1"/>
        </w:numPr>
        <w:kinsoku/>
        <w:wordWrap/>
        <w:overflowPunct/>
        <w:topLinePunct w:val="0"/>
        <w:bidi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 w:eastAsia="仿宋_GB2312"/>
          <w:sz w:val="32"/>
          <w:szCs w:val="32"/>
        </w:rPr>
        <w:t>其他收入：2021年我所其他收入4.80万元，主要为全年特设账户利息收入。</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三、支出决算情况说明</w:t>
      </w:r>
    </w:p>
    <w:p>
      <w:pPr>
        <w:keepNext w:val="0"/>
        <w:keepLines w:val="0"/>
        <w:pageBreakBefore w:val="0"/>
        <w:kinsoku/>
        <w:wordWrap/>
        <w:overflowPunct/>
        <w:topLinePunct w:val="0"/>
        <w:bidi w:val="0"/>
        <w:snapToGrid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2021年度支出合计4525.27万元，其中：基本支出1940.21万元，占42.87%；项目支出2585.06万元，占57.13%。</w:t>
      </w:r>
    </w:p>
    <w:p>
      <w:pPr>
        <w:keepNext w:val="0"/>
        <w:keepLines w:val="0"/>
        <w:pageBreakBefore w:val="0"/>
        <w:numPr>
          <w:ilvl w:val="0"/>
          <w:numId w:val="2"/>
        </w:numPr>
        <w:kinsoku/>
        <w:wordWrap/>
        <w:overflowPunct/>
        <w:topLinePunct w:val="0"/>
        <w:bidi w:val="0"/>
        <w:snapToGrid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基本支出：人员经费支出1566.5</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万元，其中财政性资金1281.9</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万元、非财政性资金284.59万元；日常公用经费支出373.69万元，其中财政性资金57.93万元、非财政性资金315.76万元。</w:t>
      </w:r>
    </w:p>
    <w:p>
      <w:pPr>
        <w:keepNext w:val="0"/>
        <w:keepLines w:val="0"/>
        <w:pageBreakBefore w:val="0"/>
        <w:numPr>
          <w:ilvl w:val="0"/>
          <w:numId w:val="2"/>
        </w:numPr>
        <w:kinsoku/>
        <w:wordWrap/>
        <w:overflowPunct/>
        <w:topLinePunct w:val="0"/>
        <w:bidi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项目支出：财政性项目支出1308.92万元，非财政性项目支出1276.14万元。</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四、财政拨款收入支出决算总体情况说明</w:t>
      </w:r>
    </w:p>
    <w:p>
      <w:pPr>
        <w:pStyle w:val="15"/>
        <w:keepNext w:val="0"/>
        <w:keepLines w:val="0"/>
        <w:pageBreakBefore w:val="0"/>
        <w:kinsoku/>
        <w:wordWrap/>
        <w:overflowPunct/>
        <w:topLinePunct w:val="0"/>
        <w:bidi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2021年度财政拨款收、支总计2648.77万元，与上年相比减少132.56万元，降幅4.76%，</w:t>
      </w:r>
      <w:r>
        <w:rPr>
          <w:rFonts w:hint="eastAsia" w:ascii="仿宋_GB2312" w:hAnsi="仿宋_GB2312" w:eastAsia="仿宋_GB2312" w:cs="仿宋_GB2312"/>
          <w:color w:val="auto"/>
          <w:sz w:val="32"/>
          <w:szCs w:val="32"/>
        </w:rPr>
        <w:t>主要原因为在职人员及退休同志2021年综治奖拨款未下达。</w:t>
      </w:r>
    </w:p>
    <w:p>
      <w:pPr>
        <w:pStyle w:val="15"/>
        <w:keepNext w:val="0"/>
        <w:keepLines w:val="0"/>
        <w:pageBreakBefore w:val="0"/>
        <w:numPr>
          <w:ilvl w:val="0"/>
          <w:numId w:val="3"/>
        </w:numPr>
        <w:kinsoku/>
        <w:wordWrap/>
        <w:overflowPunct/>
        <w:topLinePunct w:val="0"/>
        <w:bidi w:val="0"/>
        <w:spacing w:line="560" w:lineRule="exact"/>
        <w:ind w:firstLine="640" w:firstLineChars="200"/>
        <w:textAlignment w:val="auto"/>
        <w:rPr>
          <w:rFonts w:hint="eastAsia" w:hAnsi="黑体"/>
          <w:color w:val="auto"/>
          <w:sz w:val="32"/>
          <w:szCs w:val="32"/>
          <w:lang w:bidi="ar"/>
        </w:rPr>
      </w:pPr>
      <w:r>
        <w:rPr>
          <w:rFonts w:hint="eastAsia" w:hAnsi="黑体"/>
          <w:color w:val="auto"/>
          <w:sz w:val="32"/>
          <w:szCs w:val="32"/>
          <w:lang w:bidi="ar"/>
        </w:rPr>
        <w:t>一般公共预算财政拨款支出决算情况说明</w:t>
      </w:r>
    </w:p>
    <w:p>
      <w:pPr>
        <w:pStyle w:val="15"/>
        <w:keepNext w:val="0"/>
        <w:keepLines w:val="0"/>
        <w:pageBreakBefore w:val="0"/>
        <w:kinsoku/>
        <w:wordWrap/>
        <w:overflowPunct/>
        <w:topLinePunct w:val="0"/>
        <w:bidi w:val="0"/>
        <w:spacing w:line="560" w:lineRule="exact"/>
        <w:ind w:firstLine="643" w:firstLineChars="200"/>
        <w:textAlignment w:val="auto"/>
        <w:rPr>
          <w:rFonts w:ascii="楷体" w:hAnsi="楷体" w:eastAsia="楷体" w:cs="楷体"/>
          <w:b/>
          <w:sz w:val="32"/>
          <w:szCs w:val="32"/>
        </w:rPr>
      </w:pPr>
      <w:r>
        <w:rPr>
          <w:rFonts w:hint="eastAsia" w:ascii="楷体" w:hAnsi="楷体" w:eastAsia="楷体" w:cs="楷体"/>
          <w:b/>
          <w:sz w:val="32"/>
          <w:szCs w:val="32"/>
        </w:rPr>
        <w:t>（一）财政拨款支出决算总体情况</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2021年度财政拨款支出2237.86万元，占本年支出合计的49.45%，与上年相比，财政拨款支出减少116.53万元，减幅4.94%，主要原因为2021年在职人员及退休同志的综治奖拨款减少，相关支出减少。其中，一般公共预算财政拨款基本支出1338.59万元，一般公共预算财政拨款项目支出899.27万元。</w:t>
      </w:r>
    </w:p>
    <w:p>
      <w:pPr>
        <w:pStyle w:val="15"/>
        <w:keepNext w:val="0"/>
        <w:keepLines w:val="0"/>
        <w:pageBreakBefore w:val="0"/>
        <w:kinsoku/>
        <w:wordWrap/>
        <w:overflowPunct/>
        <w:topLinePunct w:val="0"/>
        <w:bidi w:val="0"/>
        <w:spacing w:line="560" w:lineRule="exact"/>
        <w:ind w:firstLine="643" w:firstLineChars="200"/>
        <w:textAlignment w:val="auto"/>
        <w:rPr>
          <w:rFonts w:ascii="楷体" w:hAnsi="楷体" w:eastAsia="楷体" w:cs="楷体"/>
          <w:b/>
          <w:sz w:val="32"/>
          <w:szCs w:val="32"/>
        </w:rPr>
      </w:pPr>
      <w:r>
        <w:rPr>
          <w:rFonts w:hint="eastAsia" w:ascii="楷体" w:hAnsi="楷体" w:eastAsia="楷体" w:cs="楷体"/>
          <w:b/>
          <w:sz w:val="32"/>
          <w:szCs w:val="32"/>
        </w:rPr>
        <w:t>（二）财政拨款支出决算结构情况</w:t>
      </w:r>
    </w:p>
    <w:p>
      <w:pPr>
        <w:pStyle w:val="15"/>
        <w:keepNext w:val="0"/>
        <w:keepLines w:val="0"/>
        <w:pageBreakBefore w:val="0"/>
        <w:kinsoku/>
        <w:wordWrap/>
        <w:overflowPunct/>
        <w:topLinePunct w:val="0"/>
        <w:bidi w:val="0"/>
        <w:spacing w:line="560" w:lineRule="exact"/>
        <w:ind w:firstLine="640" w:firstLineChars="200"/>
        <w:jc w:val="both"/>
        <w:textAlignment w:val="auto"/>
        <w:rPr>
          <w:rFonts w:asciiTheme="minorEastAsia" w:hAnsiTheme="minorEastAsia" w:eastAsiaTheme="minorEastAsia"/>
          <w:color w:val="auto"/>
          <w:sz w:val="32"/>
          <w:szCs w:val="32"/>
        </w:rPr>
      </w:pPr>
      <w:r>
        <w:rPr>
          <w:rFonts w:hint="eastAsia" w:ascii="仿宋_GB2312" w:hAnsi="仿宋_GB2312" w:eastAsia="仿宋_GB2312" w:cs="仿宋_GB2312"/>
          <w:sz w:val="32"/>
          <w:szCs w:val="32"/>
        </w:rPr>
        <w:t>2021年度财政拨款支出</w:t>
      </w:r>
      <w:r>
        <w:rPr>
          <w:rFonts w:hint="eastAsia" w:ascii="仿宋_GB2312" w:hAnsi="仿宋_GB2312" w:eastAsia="仿宋_GB2312" w:cs="仿宋_GB2312"/>
          <w:color w:val="auto"/>
          <w:sz w:val="32"/>
          <w:szCs w:val="32"/>
        </w:rPr>
        <w:t>2237.86</w:t>
      </w:r>
      <w:r>
        <w:rPr>
          <w:rFonts w:hint="eastAsia" w:ascii="仿宋_GB2312" w:hAnsi="仿宋_GB2312" w:eastAsia="仿宋_GB2312" w:cs="仿宋_GB2312"/>
          <w:sz w:val="32"/>
          <w:szCs w:val="32"/>
        </w:rPr>
        <w:t>万元，主要用于以下方面：一般公共服务（类）支出0.98万元，占0.06%；科学技术（类）支出1913.22万元，占85.49%；社会保障和就业（类）支出182.77万元，占8.16%；住房保障（类）支出140.89万元，占6.29%。</w:t>
      </w:r>
    </w:p>
    <w:p>
      <w:pPr>
        <w:pStyle w:val="15"/>
        <w:keepNext w:val="0"/>
        <w:keepLines w:val="0"/>
        <w:pageBreakBefore w:val="0"/>
        <w:kinsoku/>
        <w:wordWrap/>
        <w:overflowPunct/>
        <w:topLinePunct w:val="0"/>
        <w:bidi w:val="0"/>
        <w:spacing w:line="560" w:lineRule="exact"/>
        <w:ind w:firstLine="643" w:firstLineChars="200"/>
        <w:textAlignment w:val="auto"/>
        <w:rPr>
          <w:rFonts w:ascii="楷体" w:hAnsi="楷体" w:eastAsia="楷体" w:cs="楷体"/>
          <w:b/>
          <w:sz w:val="32"/>
          <w:szCs w:val="32"/>
        </w:rPr>
      </w:pPr>
      <w:r>
        <w:rPr>
          <w:rFonts w:hint="eastAsia" w:ascii="楷体" w:hAnsi="楷体" w:eastAsia="楷体" w:cs="楷体"/>
          <w:b/>
          <w:sz w:val="32"/>
          <w:szCs w:val="32"/>
        </w:rPr>
        <w:t>（三）财政拨款支出决算具体情况</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color w:val="FF0000"/>
          <w:sz w:val="32"/>
          <w:szCs w:val="32"/>
        </w:rPr>
      </w:pPr>
      <w:r>
        <w:rPr>
          <w:rFonts w:hint="eastAsia" w:asciiTheme="minorEastAsia" w:hAnsiTheme="minorEastAsia" w:eastAsiaTheme="minorEastAsia"/>
          <w:sz w:val="32"/>
          <w:szCs w:val="32"/>
        </w:rPr>
        <w:t>2</w:t>
      </w:r>
      <w:r>
        <w:rPr>
          <w:rFonts w:hint="eastAsia" w:ascii="仿宋_GB2312" w:hAnsi="仿宋_GB2312" w:eastAsia="仿宋_GB2312" w:cs="仿宋_GB2312"/>
          <w:sz w:val="32"/>
          <w:szCs w:val="32"/>
        </w:rPr>
        <w:t>021年度财政拨款支出年初预算数为2171.85万元，支出决算数为</w:t>
      </w:r>
      <w:r>
        <w:rPr>
          <w:rFonts w:hint="eastAsia" w:ascii="仿宋_GB2312" w:hAnsi="仿宋_GB2312" w:eastAsia="仿宋_GB2312" w:cs="仿宋_GB2312"/>
          <w:color w:val="auto"/>
          <w:sz w:val="32"/>
          <w:szCs w:val="32"/>
        </w:rPr>
        <w:t>2237.86</w:t>
      </w:r>
      <w:r>
        <w:rPr>
          <w:rFonts w:hint="eastAsia" w:ascii="仿宋_GB2312" w:hAnsi="仿宋_GB2312" w:eastAsia="仿宋_GB2312" w:cs="仿宋_GB2312"/>
          <w:sz w:val="32"/>
          <w:szCs w:val="32"/>
        </w:rPr>
        <w:t>万元，完成年初预算的103.0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%，决算数大于预算数的主要原因为年中追加人员经费、课题经费及用上年结转的财政资金支付各类项目费用。其中：</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1．一般公共服务支出（类）知识产权事务（款）国家知识产权战略（项）</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年初预算0.80万元，支出决算为0.80万元，决算数等于预算数。</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2．一般公共服务支出（类）市场监督管理事务（款）质量基础（项）</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年初预算0.00万元，支出决算为0.18万元，决算数大于预算数的主要原因为年中追加了“知识产权战略和规划”项目4.00万元。</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3．科学技术支出（类）基础研究（款）自然科学基金（项）</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年初预算20.80万元，支出决算为11.17万元，预算执行率53.70。</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4．科学技术支出（类）应用研究（款）机构运行（项）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年初预算738.44万元，支出决算为1014.93万元，完成年初预算的137.44%。决算数大于预算数的主要原因为年中追加人员经费等。</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5.科学技术支出（类）应用研究（款）高技术研究（项）</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年初预算100.00万元，支出决算为64.20万元，预算执行款64.20%。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6.科学技术支出（类）应用研究（款）其他应用研究支出（项）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年初预算0.00万元，支出决算为4.77万元，决算数大于预算数的主要原因为年中追加了相关的项目经费130.00万元。</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7．科学技术支出（类）技术研究与开发（款）科技成果转化与扩散（项）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年初预算0.00万元，支出决算为11.50万元，决算数大于预算数的主要原因为年中追加“2021年成果评价补助经费”11.50万元。</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8.科学技术支出（类）科技条件与服务（款）技术创新服务体系（项）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年初预算1.92元，支出决算为1.92万元，预算执行率100%。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9.科学技术支出（类）科技条件与服务（款）科技条件专项（项）</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年初预算348.34万元，支出决算为348.34万元，预算执行率100%。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 科学技术支出（类）科技条件与服务（款）其他科技条件与服务支出（项）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年初预算465.05万元，年中追加60.00万元，支出决算为396.59万元，预算执行率85.27%。</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11.科学技术支出（类）社会科学（款）其他社会科学支出（项）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年初预算0.00万元，支出决算为31.50万元，决算数大于预算数的主要原因为年中追加项目经费31.50万元。</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12、科学技术支出（类）科学技术普及（款）科普活动（项）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年初预算50.00万元，支出决算为50.00万元，预算执行率100%。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13.科学技术支出（类）科学技术普及（款）其他科学技术普及支出（项）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年初预算0.00万元，支出决算为1.05万元，决算数大于预算数的主要原因为使用年中追加项目经费35.00万元。</w:t>
      </w:r>
    </w:p>
    <w:p>
      <w:pPr>
        <w:keepNext w:val="0"/>
        <w:keepLines w:val="0"/>
        <w:pageBreakBefore w:val="0"/>
        <w:shd w:val="clear" w:color="auto" w:fill="FFFFFF"/>
        <w:kinsoku/>
        <w:wordWrap/>
        <w:overflowPunct/>
        <w:topLinePunct w:val="0"/>
        <w:bidi w:val="0"/>
        <w:spacing w:line="560" w:lineRule="exact"/>
        <w:ind w:firstLine="420" w:firstLineChars="200"/>
        <w:textAlignment w:val="auto"/>
        <w:rPr>
          <w:rFonts w:ascii="仿宋_GB2312" w:hAnsi="仿宋_GB2312" w:eastAsia="仿宋_GB2312" w:cs="仿宋_GB2312"/>
          <w:color w:val="000000"/>
          <w:kern w:val="0"/>
          <w:sz w:val="32"/>
          <w:szCs w:val="32"/>
        </w:rPr>
      </w:pPr>
      <w:r>
        <w:rPr>
          <w:rFonts w:hint="eastAsia"/>
        </w:rPr>
        <w:t xml:space="preserve">   </w:t>
      </w:r>
      <w:r>
        <w:rPr>
          <w:rFonts w:hint="eastAsia" w:ascii="仿宋_GB2312" w:hAnsi="仿宋_GB2312" w:eastAsia="仿宋_GB2312" w:cs="仿宋_GB2312"/>
          <w:color w:val="000000"/>
          <w:kern w:val="0"/>
          <w:sz w:val="32"/>
          <w:szCs w:val="32"/>
        </w:rPr>
        <w:t>14.科学技术支出（类）科技重大项目（款）重点研发计划（项）</w:t>
      </w:r>
    </w:p>
    <w:p>
      <w:pPr>
        <w:pStyle w:val="2"/>
        <w:keepNext w:val="0"/>
        <w:keepLines w:val="0"/>
        <w:pageBreakBefore w:val="0"/>
        <w:kinsoku/>
        <w:wordWrap/>
        <w:overflowPunct/>
        <w:topLinePunct w:val="0"/>
        <w:bidi w:val="0"/>
        <w:spacing w:line="560" w:lineRule="exact"/>
        <w:ind w:firstLine="640" w:firstLineChars="200"/>
        <w:textAlignment w:val="auto"/>
      </w:pPr>
      <w:r>
        <w:rPr>
          <w:rFonts w:hint="eastAsia" w:ascii="仿宋_GB2312" w:hAnsi="仿宋_GB2312" w:eastAsia="仿宋_GB2312" w:cs="仿宋_GB2312"/>
          <w:color w:val="000000"/>
          <w:kern w:val="0"/>
          <w:sz w:val="32"/>
          <w:szCs w:val="32"/>
        </w:rPr>
        <w:t>年初预算0.00万元，支出决算为1.50万元，决算数大于预算数的主要原因为使用年中追加项目经费50.00万元。</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15.社会保障和就业支出（类）行政事业单位养老支出（款）机关事业单位基本养老保险缴费支出（项）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年初预算130.64万元，支出决算为130.64万元，完成年初预算的100.00%。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16.社会保障和就业支出（类）行政事业单位养老支出（款）机关事业单位职业年金缴费支出（项）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年初预算52.13万元，支出决算为52.13万元，完成年初预算的100.00%。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17.住房保障支出（类）住房改革支出（款）住房公积金（项）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年初预算115.00万元，支出决算为115.00万元，完成年初预算的100.00%。</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19.住房保障支出（类）住房改革支出（款）购房补贴（项）</w:t>
      </w:r>
    </w:p>
    <w:p>
      <w:pPr>
        <w:keepNext w:val="0"/>
        <w:keepLines w:val="0"/>
        <w:pageBreakBefore w:val="0"/>
        <w:shd w:val="clear" w:color="auto" w:fill="FFFFFF"/>
        <w:kinsoku/>
        <w:wordWrap/>
        <w:overflowPunct/>
        <w:topLinePunct w:val="0"/>
        <w:bidi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年初预算25.89万元，支出决算为25.89万元，完成年初预算的100.00%。</w:t>
      </w:r>
    </w:p>
    <w:p>
      <w:pPr>
        <w:pStyle w:val="15"/>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六、一般公共预算财政拨款基本支出决算情况说明</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2021年度财政拨款基本支出1338.59万元，其中：人员经费1281.92万元，占基本支出的</w:t>
      </w:r>
      <w:r>
        <w:rPr>
          <w:rFonts w:ascii="仿宋_GB2312" w:hAnsi="仿宋_GB2312" w:eastAsia="仿宋_GB2312" w:cs="仿宋_GB2312"/>
          <w:sz w:val="32"/>
          <w:szCs w:val="32"/>
          <w:lang w:val="en"/>
        </w:rPr>
        <w:t>9</w:t>
      </w:r>
      <w:r>
        <w:rPr>
          <w:rFonts w:hint="eastAsia" w:ascii="仿宋_GB2312" w:hAnsi="仿宋_GB2312" w:eastAsia="仿宋_GB2312" w:cs="仿宋_GB2312"/>
          <w:sz w:val="32"/>
          <w:szCs w:val="32"/>
          <w:lang w:val="en"/>
        </w:rPr>
        <w:t>5</w:t>
      </w:r>
      <w:r>
        <w:rPr>
          <w:rFonts w:ascii="仿宋_GB2312" w:hAnsi="仿宋_GB2312" w:eastAsia="仿宋_GB2312" w:cs="仿宋_GB2312"/>
          <w:sz w:val="32"/>
          <w:szCs w:val="32"/>
          <w:lang w:val="en"/>
        </w:rPr>
        <w:t>.</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主要包括基本工资、津贴补贴、奖金、伙食补助费、绩效工资、机关事业单位基本养老保险缴费、职业年金缴费、职工基本医疗保险缴费、其他社会保障缴费、医疗费、其他工资福利支出、离休费、退休费、抚恤金、生活补助、医疗费补助、 奖励金、住房公积金、其他对个人和家庭的补助支出；公用经费56.67万元，占基本支出的</w:t>
      </w:r>
      <w:r>
        <w:rPr>
          <w:rFonts w:hint="eastAsia" w:ascii="仿宋_GB2312" w:hAnsi="仿宋_GB2312" w:eastAsia="仿宋_GB2312" w:cs="仿宋_GB2312"/>
          <w:sz w:val="32"/>
          <w:szCs w:val="32"/>
          <w:lang w:val="en"/>
        </w:rPr>
        <w:t>4</w:t>
      </w:r>
      <w:r>
        <w:rPr>
          <w:rFonts w:ascii="仿宋_GB2312" w:hAnsi="仿宋_GB2312" w:eastAsia="仿宋_GB2312" w:cs="仿宋_GB2312"/>
          <w:sz w:val="32"/>
          <w:szCs w:val="32"/>
          <w:lang w:val="e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主要包括办公费、印刷费、咨询费、水费、电费、邮电费、取暖费、物业管理费、差旅费、维修（护）费、租赁费、会议费、培训费、公务接待费、劳务费、委托业务费、工会经费、福利费、公务用车运行维护费、其他交通费用、税金及附加费用、其他商品和服务支出、办公设备购置。</w:t>
      </w:r>
    </w:p>
    <w:p>
      <w:pPr>
        <w:pStyle w:val="15"/>
        <w:keepNext w:val="0"/>
        <w:keepLines w:val="0"/>
        <w:pageBreakBefore w:val="0"/>
        <w:numPr>
          <w:ilvl w:val="0"/>
          <w:numId w:val="4"/>
        </w:numPr>
        <w:kinsoku/>
        <w:wordWrap/>
        <w:overflowPunct/>
        <w:topLinePunct w:val="0"/>
        <w:bidi w:val="0"/>
        <w:spacing w:line="560" w:lineRule="exact"/>
        <w:ind w:firstLine="640" w:firstLineChars="200"/>
        <w:textAlignment w:val="auto"/>
        <w:rPr>
          <w:rFonts w:hint="eastAsia" w:hAnsi="黑体"/>
          <w:color w:val="auto"/>
          <w:sz w:val="32"/>
          <w:szCs w:val="32"/>
          <w:lang w:bidi="ar"/>
        </w:rPr>
      </w:pPr>
      <w:r>
        <w:rPr>
          <w:rFonts w:hint="eastAsia" w:hAnsi="黑体"/>
          <w:color w:val="auto"/>
          <w:sz w:val="32"/>
          <w:szCs w:val="32"/>
          <w:lang w:bidi="ar"/>
        </w:rPr>
        <w:t>一般公共预算财政拨款三公经费支出决算情况说明</w:t>
      </w:r>
    </w:p>
    <w:p>
      <w:pPr>
        <w:pStyle w:val="15"/>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楷体" w:hAnsi="楷体" w:eastAsia="楷体" w:cs="楷体"/>
          <w:b/>
          <w:sz w:val="32"/>
          <w:szCs w:val="32"/>
        </w:rPr>
      </w:pPr>
      <w:r>
        <w:rPr>
          <w:rFonts w:hint="eastAsia" w:ascii="楷体" w:hAnsi="楷体" w:eastAsia="楷体" w:cs="楷体"/>
          <w:bCs/>
          <w:sz w:val="32"/>
          <w:szCs w:val="32"/>
        </w:rPr>
        <w:t>（一）“三公”经费财政拨款支出决算总体情况说明</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Theme="minorEastAsia" w:hAnsiTheme="minorEastAsia" w:eastAsiaTheme="minorEastAsia"/>
          <w:sz w:val="32"/>
          <w:szCs w:val="32"/>
        </w:rPr>
        <w:t>“</w:t>
      </w:r>
      <w:r>
        <w:rPr>
          <w:rFonts w:hint="eastAsia" w:ascii="仿宋_GB2312" w:hAnsi="仿宋_GB2312" w:eastAsia="仿宋_GB2312" w:cs="仿宋_GB2312"/>
          <w:sz w:val="32"/>
          <w:szCs w:val="32"/>
        </w:rPr>
        <w:t>三公”经费财政拨款支出预算为18.00万元，支出决算为16.74万元，完成预算的93.00%，其中：</w:t>
      </w:r>
    </w:p>
    <w:p>
      <w:pPr>
        <w:pStyle w:val="15"/>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因公出国（境）费支出预算为0.00万元，支出决算为0.00万元</w:t>
      </w:r>
      <w:r>
        <w:rPr>
          <w:rFonts w:hint="eastAsia" w:ascii="仿宋_GB2312" w:hAnsi="仿宋_GB2312" w:eastAsia="仿宋_GB2312" w:cs="仿宋_GB2312"/>
          <w:sz w:val="32"/>
          <w:szCs w:val="32"/>
          <w:lang w:eastAsia="zh-CN"/>
        </w:rPr>
        <w:t>。</w:t>
      </w:r>
      <w:bookmarkStart w:id="3" w:name="_GoBack"/>
      <w:bookmarkEnd w:id="3"/>
      <w:r>
        <w:rPr>
          <w:rFonts w:hint="eastAsia" w:ascii="Times New Roman" w:hAnsi="Times New Roman" w:eastAsia="仿宋_GB2312"/>
          <w:sz w:val="32"/>
          <w:szCs w:val="32"/>
        </w:rPr>
        <w:t>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仿宋_GB2312" w:hAnsi="仿宋_GB2312" w:eastAsia="仿宋_GB2312" w:cs="仿宋_GB2312"/>
          <w:sz w:val="32"/>
          <w:szCs w:val="32"/>
        </w:rPr>
        <w:t>；公务接待费支出预算为2.00万元，支出决算为0.74万元，完成预算的37.00%，与上年相比减少0.52万元，减少41.26%，减少的主要原因为我所厉行节约，严格控制“三公”经费支出。单位2021年国内接待批次9次、接待人次60人.次，主要是市州科研院所来我所调研、交流学习发生的接待支出。</w:t>
      </w:r>
    </w:p>
    <w:p>
      <w:pPr>
        <w:pStyle w:val="15"/>
        <w:keepNext w:val="0"/>
        <w:keepLines w:val="0"/>
        <w:pageBreakBefore w:val="0"/>
        <w:kinsoku/>
        <w:wordWrap/>
        <w:overflowPunct/>
        <w:topLinePunct w:val="0"/>
        <w:bidi w:val="0"/>
        <w:spacing w:line="560" w:lineRule="exact"/>
        <w:ind w:firstLine="640" w:firstLineChars="200"/>
        <w:textAlignment w:val="auto"/>
        <w:rPr>
          <w:rFonts w:asciiTheme="minorEastAsia" w:hAnsiTheme="minorEastAsia"/>
          <w:color w:val="FF0000"/>
          <w:sz w:val="32"/>
          <w:szCs w:val="32"/>
        </w:rPr>
      </w:pPr>
      <w:r>
        <w:rPr>
          <w:rFonts w:hint="eastAsia" w:ascii="仿宋_GB2312" w:hAnsi="仿宋_GB2312" w:eastAsia="仿宋_GB2312" w:cs="仿宋_GB2312"/>
          <w:sz w:val="32"/>
          <w:szCs w:val="32"/>
        </w:rPr>
        <w:t>公务用车购置费及运行维护费支出预算为16.00万元，支出决算为16.00万元，完成预算的100.00%，其中公务用车购置费10.00万元，为2021年单位按程序购置公务用车</w:t>
      </w:r>
      <w:r>
        <w:rPr>
          <w:rFonts w:hint="eastAsia" w:ascii="仿宋_GB2312" w:hAnsi="仿宋_GB2312" w:eastAsia="仿宋_GB2312" w:cs="仿宋_GB2312"/>
          <w:sz w:val="32"/>
          <w:szCs w:val="32"/>
          <w:lang w:val="en-US" w:eastAsia="zh-CN"/>
        </w:rPr>
        <w:t>一台的相关</w:t>
      </w:r>
      <w:r>
        <w:rPr>
          <w:rFonts w:hint="eastAsia" w:ascii="仿宋_GB2312" w:hAnsi="仿宋_GB2312" w:eastAsia="仿宋_GB2312" w:cs="仿宋_GB2312"/>
          <w:sz w:val="32"/>
          <w:szCs w:val="32"/>
        </w:rPr>
        <w:t>支出；公务用车运行维护费6.00万元，主要是用于公务车辆的燃料费、维修费、过路过桥费、保险费等支出，截止2021年12月31日，我单位开支财政拨款的公务用车保有量为3辆。</w:t>
      </w:r>
    </w:p>
    <w:p>
      <w:pPr>
        <w:pStyle w:val="15"/>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八、政府性基金预算收入支出决算情况</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w:t>
      </w:r>
      <w:r>
        <w:rPr>
          <w:rFonts w:hint="eastAsia" w:ascii="仿宋_GB2312" w:hAnsi="仿宋_GB2312" w:eastAsia="仿宋_GB2312" w:cs="仿宋_GB2312"/>
          <w:color w:val="auto"/>
          <w:sz w:val="32"/>
          <w:szCs w:val="32"/>
          <w:lang w:val="en-US" w:eastAsia="zh-CN"/>
        </w:rPr>
        <w:t>2021年度</w:t>
      </w:r>
      <w:r>
        <w:rPr>
          <w:rFonts w:hint="eastAsia" w:ascii="仿宋_GB2312" w:hAnsi="仿宋_GB2312" w:eastAsia="仿宋_GB2312" w:cs="仿宋_GB2312"/>
          <w:color w:val="auto"/>
          <w:sz w:val="32"/>
          <w:szCs w:val="32"/>
        </w:rPr>
        <w:t>无政府性基金收支。</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九、关于</w:t>
      </w:r>
      <w:r>
        <w:rPr>
          <w:rFonts w:hint="eastAsia" w:hAnsi="黑体"/>
          <w:color w:val="auto"/>
          <w:sz w:val="32"/>
          <w:szCs w:val="32"/>
          <w:lang w:val="en-US" w:eastAsia="zh-CN" w:bidi="ar"/>
        </w:rPr>
        <w:t>机关</w:t>
      </w:r>
      <w:r>
        <w:rPr>
          <w:rFonts w:hint="eastAsia" w:hAnsi="黑体"/>
          <w:color w:val="auto"/>
          <w:sz w:val="32"/>
          <w:szCs w:val="32"/>
          <w:lang w:bidi="ar"/>
        </w:rPr>
        <w:t>运行经费支出说明</w:t>
      </w:r>
    </w:p>
    <w:p>
      <w:pPr>
        <w:pStyle w:val="15"/>
        <w:keepNext w:val="0"/>
        <w:keepLines w:val="0"/>
        <w:pageBreakBefore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本单位2021年度</w:t>
      </w:r>
      <w:r>
        <w:rPr>
          <w:rFonts w:hint="eastAsia" w:ascii="仿宋_GB2312" w:hAnsi="仿宋_GB2312" w:eastAsia="仿宋_GB2312" w:cs="仿宋_GB2312"/>
          <w:sz w:val="32"/>
          <w:szCs w:val="32"/>
          <w:lang w:val="en-US" w:eastAsia="zh-CN"/>
        </w:rPr>
        <w:t>无机关</w:t>
      </w:r>
      <w:r>
        <w:rPr>
          <w:rFonts w:hint="eastAsia" w:ascii="仿宋_GB2312" w:hAnsi="仿宋_GB2312" w:eastAsia="仿宋_GB2312" w:cs="仿宋_GB2312"/>
          <w:sz w:val="32"/>
          <w:szCs w:val="32"/>
        </w:rPr>
        <w:t>运行经费支出</w:t>
      </w:r>
      <w:r>
        <w:rPr>
          <w:rFonts w:hint="eastAsia" w:ascii="仿宋_GB2312" w:hAnsi="仿宋_GB2312" w:eastAsia="仿宋_GB2312" w:cs="仿宋_GB2312"/>
          <w:sz w:val="32"/>
          <w:szCs w:val="32"/>
          <w:lang w:eastAsia="zh-CN"/>
        </w:rPr>
        <w:t>。</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十、一般性支出情况</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2021年开支会议费合计31.33万元，主要用于《科技情况研究》编委会、《湖南省高新区绩效评价研究报告2021》成果发布会、两型产品认定与评审会、成果评价及科技创新平台评审等，人数共计850人，主要内容为：1.2021年《科技情报研究》编委会；2.发布成果《湖南省高新区绩效评价研究报告2021》；3.完成2021年两型产品认定及评审务工作；</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.2021年科技创新平台评审会议等。</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2021年开支培训费合计0.89万元，用于我所职工参加2021年中共湖南省委宣传部出版产品质量监督检测中心培训、《图书情报工作》杂志社培训、科技数据梳理分析培训等各类培训，人数共计12人，主要内容为：1. 参加2021年中共湖南省委宣传部出版产品质量监督检测中心培训；2.参加《图书情报工作》杂志社培训；3.参加中信所组织科技数据梳理分析培训等。</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十一、关于政府采购支出说明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本单位2021年度政府采购支出总额593.97万元，其中：政府采购货物支出257.49万元、政府采购工程支出0.00万元、政府采购服务支出336.48万元。</w:t>
      </w:r>
      <w:r>
        <w:rPr>
          <w:rFonts w:hint="default" w:ascii="仿宋_GB2312" w:hAnsi="仿宋_GB2312" w:eastAsia="仿宋_GB2312" w:cs="仿宋_GB2312"/>
          <w:color w:val="auto"/>
          <w:sz w:val="32"/>
          <w:szCs w:val="32"/>
        </w:rPr>
        <w:t>授予中小企业合同金额</w:t>
      </w:r>
      <w:r>
        <w:rPr>
          <w:rFonts w:hint="eastAsia" w:ascii="仿宋_GB2312" w:hAnsi="仿宋_GB2312" w:eastAsia="仿宋_GB2312" w:cs="仿宋_GB2312"/>
          <w:color w:val="auto"/>
          <w:sz w:val="32"/>
          <w:szCs w:val="32"/>
          <w:lang w:val="en-US" w:eastAsia="zh-CN"/>
        </w:rPr>
        <w:t>91.42</w:t>
      </w:r>
      <w:r>
        <w:rPr>
          <w:rFonts w:hint="default" w:ascii="仿宋_GB2312" w:hAnsi="仿宋_GB2312" w:eastAsia="仿宋_GB2312" w:cs="仿宋_GB2312"/>
          <w:color w:val="auto"/>
          <w:sz w:val="32"/>
          <w:szCs w:val="32"/>
        </w:rPr>
        <w:t>万元，占政府采购支出总额的</w:t>
      </w:r>
      <w:r>
        <w:rPr>
          <w:rFonts w:hint="eastAsia" w:ascii="仿宋_GB2312" w:hAnsi="仿宋_GB2312" w:eastAsia="仿宋_GB2312" w:cs="仿宋_GB2312"/>
          <w:color w:val="auto"/>
          <w:sz w:val="32"/>
          <w:szCs w:val="32"/>
          <w:lang w:val="en-US" w:eastAsia="zh-CN"/>
        </w:rPr>
        <w:t>15.39</w:t>
      </w:r>
      <w:r>
        <w:rPr>
          <w:rFonts w:hint="default" w:ascii="仿宋_GB2312" w:hAnsi="仿宋_GB2312" w:eastAsia="仿宋_GB2312" w:cs="仿宋_GB2312"/>
          <w:color w:val="auto"/>
          <w:sz w:val="32"/>
          <w:szCs w:val="32"/>
        </w:rPr>
        <w:t>%，其中：授予小微企业合同金额</w:t>
      </w:r>
      <w:r>
        <w:rPr>
          <w:rFonts w:hint="eastAsia" w:ascii="仿宋_GB2312" w:hAnsi="仿宋_GB2312" w:eastAsia="仿宋_GB2312" w:cs="仿宋_GB2312"/>
          <w:color w:val="auto"/>
          <w:sz w:val="32"/>
          <w:szCs w:val="32"/>
          <w:lang w:val="en-US" w:eastAsia="zh-CN"/>
        </w:rPr>
        <w:t>0</w:t>
      </w:r>
      <w:r>
        <w:rPr>
          <w:rFonts w:hint="default" w:ascii="仿宋_GB2312" w:hAnsi="仿宋_GB2312" w:eastAsia="仿宋_GB2312" w:cs="仿宋_GB2312"/>
          <w:color w:val="auto"/>
          <w:sz w:val="32"/>
          <w:szCs w:val="32"/>
        </w:rPr>
        <w:t>万元，占政府采购支出总额的</w:t>
      </w:r>
      <w:r>
        <w:rPr>
          <w:rFonts w:hint="eastAsia" w:ascii="仿宋_GB2312" w:hAnsi="仿宋_GB2312" w:eastAsia="仿宋_GB2312" w:cs="仿宋_GB2312"/>
          <w:color w:val="auto"/>
          <w:sz w:val="32"/>
          <w:szCs w:val="32"/>
          <w:lang w:val="en-US" w:eastAsia="zh-CN"/>
        </w:rPr>
        <w:t>0</w:t>
      </w:r>
      <w:r>
        <w:rPr>
          <w:rFonts w:hint="default" w:ascii="仿宋_GB2312" w:hAnsi="仿宋_GB2312" w:eastAsia="仿宋_GB2312" w:cs="仿宋_GB2312"/>
          <w:color w:val="auto"/>
          <w:sz w:val="32"/>
          <w:szCs w:val="32"/>
        </w:rPr>
        <w:t>%。货物采购授予中小企业合同金额占货物支出金额的</w:t>
      </w:r>
      <w:r>
        <w:rPr>
          <w:rFonts w:hint="eastAsia" w:ascii="仿宋_GB2312" w:hAnsi="仿宋_GB2312" w:eastAsia="仿宋_GB2312" w:cs="仿宋_GB2312"/>
          <w:color w:val="auto"/>
          <w:sz w:val="32"/>
          <w:szCs w:val="32"/>
          <w:lang w:val="en-US" w:eastAsia="zh-CN"/>
        </w:rPr>
        <w:t>35.50</w:t>
      </w:r>
      <w:r>
        <w:rPr>
          <w:rFonts w:hint="default"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default"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default" w:ascii="仿宋_GB2312" w:hAnsi="仿宋_GB2312" w:eastAsia="仿宋_GB2312" w:cs="仿宋_GB2312"/>
          <w:color w:val="auto"/>
          <w:sz w:val="32"/>
          <w:szCs w:val="32"/>
        </w:rPr>
        <w:t>%。</w:t>
      </w:r>
    </w:p>
    <w:p>
      <w:pPr>
        <w:pStyle w:val="15"/>
        <w:keepNext w:val="0"/>
        <w:keepLines w:val="0"/>
        <w:pageBreakBefore w:val="0"/>
        <w:kinsoku/>
        <w:wordWrap/>
        <w:overflowPunct/>
        <w:topLinePunct w:val="0"/>
        <w:bidi w:val="0"/>
        <w:spacing w:line="560" w:lineRule="exact"/>
        <w:ind w:firstLine="640" w:firstLineChars="200"/>
        <w:textAlignment w:val="auto"/>
        <w:rPr>
          <w:rFonts w:hAnsi="黑体"/>
          <w:color w:val="auto"/>
          <w:sz w:val="32"/>
          <w:szCs w:val="32"/>
          <w:lang w:bidi="ar"/>
        </w:rPr>
      </w:pPr>
      <w:r>
        <w:rPr>
          <w:rFonts w:hint="eastAsia" w:hAnsi="黑体"/>
          <w:color w:val="auto"/>
          <w:sz w:val="32"/>
          <w:szCs w:val="32"/>
          <w:lang w:bidi="ar"/>
        </w:rPr>
        <w:t>十二、关于国有资产占用情况说明</w:t>
      </w:r>
    </w:p>
    <w:p>
      <w:pPr>
        <w:pStyle w:val="15"/>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2021年12月31日，单位共有车辆3辆，其中，主要领导干部用车0辆，机要通信用车0辆、应急保障用车0辆、执法执勤用车0辆、特种专业技术用车0辆、离退休干部用车1辆、其他用车2辆，其他用车主要是用于科技新闻传播，科技情报服务等业务研究、考察与服务保障。单位价值50万元以上通用设备0台（套）；单位价值100万元以上专用设备0台（套）。</w:t>
      </w:r>
    </w:p>
    <w:p>
      <w:pPr>
        <w:pStyle w:val="15"/>
        <w:keepNext w:val="0"/>
        <w:keepLines w:val="0"/>
        <w:pageBreakBefore w:val="0"/>
        <w:numPr>
          <w:ilvl w:val="0"/>
          <w:numId w:val="5"/>
        </w:numPr>
        <w:kinsoku/>
        <w:wordWrap/>
        <w:overflowPunct/>
        <w:topLinePunct w:val="0"/>
        <w:bidi w:val="0"/>
        <w:spacing w:line="560" w:lineRule="exact"/>
        <w:ind w:firstLine="640" w:firstLineChars="200"/>
        <w:textAlignment w:val="auto"/>
        <w:rPr>
          <w:rFonts w:hint="eastAsia" w:hAnsi="黑体"/>
          <w:color w:val="auto"/>
          <w:sz w:val="32"/>
          <w:szCs w:val="32"/>
          <w:lang w:bidi="ar"/>
        </w:rPr>
      </w:pPr>
      <w:r>
        <w:rPr>
          <w:rFonts w:hint="eastAsia" w:hAnsi="黑体"/>
          <w:color w:val="auto"/>
          <w:sz w:val="32"/>
          <w:szCs w:val="32"/>
          <w:lang w:bidi="ar"/>
        </w:rPr>
        <w:t>关于202</w:t>
      </w:r>
      <w:r>
        <w:rPr>
          <w:rFonts w:hint="eastAsia" w:hAnsi="黑体"/>
          <w:color w:val="auto"/>
          <w:sz w:val="32"/>
          <w:szCs w:val="32"/>
          <w:lang w:val="en-US" w:eastAsia="zh-CN" w:bidi="ar"/>
        </w:rPr>
        <w:t>1</w:t>
      </w:r>
      <w:r>
        <w:rPr>
          <w:rFonts w:hint="eastAsia" w:hAnsi="黑体"/>
          <w:color w:val="auto"/>
          <w:sz w:val="32"/>
          <w:szCs w:val="32"/>
          <w:lang w:bidi="ar"/>
        </w:rPr>
        <w:t>年度预算绩效情况的说明</w:t>
      </w:r>
    </w:p>
    <w:p>
      <w:pPr>
        <w:keepNext w:val="0"/>
        <w:keepLines w:val="0"/>
        <w:pageBreakBefore w:val="0"/>
        <w:widowControl/>
        <w:kinsoku/>
        <w:wordWrap/>
        <w:overflowPunct/>
        <w:topLinePunct w:val="0"/>
        <w:bidi w:val="0"/>
        <w:spacing w:line="56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一</w:t>
      </w:r>
      <w:r>
        <w:rPr>
          <w:rFonts w:hint="eastAsia" w:ascii="仿宋_GB2312" w:eastAsia="仿宋_GB2312"/>
          <w:sz w:val="32"/>
          <w:szCs w:val="32"/>
        </w:rPr>
        <w:t>）绩效管理评价工作开展情况。</w:t>
      </w:r>
    </w:p>
    <w:p>
      <w:pPr>
        <w:keepNext w:val="0"/>
        <w:keepLines w:val="0"/>
        <w:pageBreakBefore w:val="0"/>
        <w:widowControl/>
        <w:kinsoku/>
        <w:wordWrap/>
        <w:overflowPunct/>
        <w:topLinePunct w:val="0"/>
        <w:bidi w:val="0"/>
        <w:spacing w:line="56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本单位按照省财政厅要求，及时申报部门整体支出绩效目标、项目支出绩效目标，按时按质开展部门整体支出绩效自评工作，以目标管理、第三方评价、信息公开等为着力点，认真贯彻落实省委、省政府的决策部署，高度重视绩效管理工作，将绩效管理融入预算编制、执行过程。积极推动预算绩效管理由专项资金拓展至部门整体支出，探索构建部门整体绩效管理机制。</w:t>
      </w:r>
    </w:p>
    <w:p>
      <w:pPr>
        <w:keepNext w:val="0"/>
        <w:keepLines w:val="0"/>
        <w:pageBreakBefore w:val="0"/>
        <w:widowControl/>
        <w:kinsoku/>
        <w:wordWrap/>
        <w:overflowPunct/>
        <w:topLinePunct w:val="0"/>
        <w:bidi w:val="0"/>
        <w:spacing w:line="56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二</w:t>
      </w:r>
      <w:r>
        <w:rPr>
          <w:rFonts w:hint="eastAsia" w:ascii="仿宋_GB2312" w:eastAsia="仿宋_GB2312"/>
          <w:sz w:val="32"/>
          <w:szCs w:val="32"/>
        </w:rPr>
        <w:t>）部门决算中项目绩效自评结果（如有）。</w:t>
      </w:r>
    </w:p>
    <w:p>
      <w:pPr>
        <w:keepNext w:val="0"/>
        <w:keepLines w:val="0"/>
        <w:pageBreakBefore w:val="0"/>
        <w:widowControl/>
        <w:kinsoku/>
        <w:wordWrap/>
        <w:overflowPunct/>
        <w:topLinePunct w:val="0"/>
        <w:bidi w:val="0"/>
        <w:spacing w:line="56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无部门决算中项目绩效自评结果。</w:t>
      </w:r>
    </w:p>
    <w:p>
      <w:pPr>
        <w:keepNext w:val="0"/>
        <w:keepLines w:val="0"/>
        <w:pageBreakBefore w:val="0"/>
        <w:widowControl/>
        <w:kinsoku/>
        <w:wordWrap/>
        <w:overflowPunct/>
        <w:topLinePunct w:val="0"/>
        <w:bidi w:val="0"/>
        <w:spacing w:line="56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三</w:t>
      </w:r>
      <w:r>
        <w:rPr>
          <w:rFonts w:hint="eastAsia" w:ascii="仿宋_GB2312" w:eastAsia="仿宋_GB2312"/>
          <w:sz w:val="32"/>
          <w:szCs w:val="32"/>
        </w:rPr>
        <w:t>）部门评价项目绩效评价结果。</w:t>
      </w:r>
    </w:p>
    <w:p>
      <w:pPr>
        <w:keepNext w:val="0"/>
        <w:keepLines w:val="0"/>
        <w:pageBreakBefore w:val="0"/>
        <w:widowControl/>
        <w:kinsoku/>
        <w:wordWrap/>
        <w:overflowPunct/>
        <w:topLinePunct w:val="0"/>
        <w:bidi w:val="0"/>
        <w:spacing w:line="56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2021年度我</w:t>
      </w:r>
      <w:r>
        <w:rPr>
          <w:rFonts w:hint="eastAsia" w:ascii="仿宋_GB2312" w:eastAsia="仿宋_GB2312"/>
          <w:sz w:val="32"/>
          <w:szCs w:val="32"/>
          <w:lang w:val="en-US" w:eastAsia="zh-CN"/>
        </w:rPr>
        <w:t>单位</w:t>
      </w:r>
      <w:r>
        <w:rPr>
          <w:rFonts w:hint="eastAsia" w:ascii="仿宋_GB2312" w:eastAsia="仿宋_GB2312"/>
          <w:sz w:val="32"/>
          <w:szCs w:val="32"/>
        </w:rPr>
        <w:t>整体支出绩效自评综合得分为9</w:t>
      </w:r>
      <w:r>
        <w:rPr>
          <w:rFonts w:hint="eastAsia" w:ascii="仿宋_GB2312" w:eastAsia="仿宋_GB2312"/>
          <w:sz w:val="32"/>
          <w:szCs w:val="32"/>
          <w:lang w:val="en-US" w:eastAsia="zh-CN"/>
        </w:rPr>
        <w:t>5.85</w:t>
      </w:r>
      <w:r>
        <w:rPr>
          <w:rFonts w:hint="eastAsia" w:ascii="仿宋_GB2312" w:eastAsia="仿宋_GB2312"/>
          <w:sz w:val="32"/>
          <w:szCs w:val="32"/>
        </w:rPr>
        <w:t>分，评价等级为“优”。</w:t>
      </w:r>
    </w:p>
    <w:p>
      <w:pPr>
        <w:keepNext w:val="0"/>
        <w:keepLines w:val="0"/>
        <w:pageBreakBefore w:val="0"/>
        <w:widowControl/>
        <w:kinsoku/>
        <w:wordWrap/>
        <w:overflowPunct/>
        <w:topLinePunct w:val="0"/>
        <w:bidi w:val="0"/>
        <w:spacing w:line="560" w:lineRule="exact"/>
        <w:ind w:firstLine="645"/>
        <w:jc w:val="left"/>
        <w:textAlignment w:val="auto"/>
        <w:rPr>
          <w:rFonts w:ascii="仿宋_GB2312" w:hAnsi="仿宋_GB2312" w:eastAsia="仿宋_GB2312" w:cs="仿宋_GB2312"/>
          <w:color w:val="FF0000"/>
          <w:kern w:val="0"/>
          <w:sz w:val="32"/>
          <w:szCs w:val="32"/>
        </w:rPr>
      </w:pPr>
    </w:p>
    <w:p>
      <w:pPr>
        <w:pStyle w:val="15"/>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32"/>
          <w:szCs w:val="32"/>
        </w:rPr>
      </w:pPr>
    </w:p>
    <w:p>
      <w:pPr>
        <w:pStyle w:val="15"/>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32"/>
          <w:szCs w:val="32"/>
        </w:rPr>
      </w:pPr>
    </w:p>
    <w:p>
      <w:pPr>
        <w:pStyle w:val="15"/>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32"/>
          <w:szCs w:val="32"/>
        </w:rPr>
      </w:pPr>
    </w:p>
    <w:p>
      <w:pPr>
        <w:pStyle w:val="15"/>
        <w:keepNext w:val="0"/>
        <w:keepLines w:val="0"/>
        <w:pageBreakBefore w:val="0"/>
        <w:kinsoku/>
        <w:wordWrap/>
        <w:overflowPunct/>
        <w:topLinePunct w:val="0"/>
        <w:bidi w:val="0"/>
        <w:spacing w:line="560" w:lineRule="exact"/>
        <w:jc w:val="center"/>
        <w:textAlignment w:val="auto"/>
        <w:rPr>
          <w:rFonts w:ascii="仿宋_GB2312" w:hAnsi="仿宋_GB2312" w:eastAsia="仿宋_GB2312" w:cs="仿宋_GB2312"/>
          <w:sz w:val="32"/>
          <w:szCs w:val="32"/>
        </w:rPr>
      </w:pPr>
    </w:p>
    <w:p>
      <w:pPr>
        <w:keepNext w:val="0"/>
        <w:keepLines w:val="0"/>
        <w:pageBreakBefore w:val="0"/>
        <w:kinsoku/>
        <w:wordWrap/>
        <w:overflowPunct/>
        <w:topLinePunct w:val="0"/>
        <w:bidi w:val="0"/>
        <w:spacing w:line="560" w:lineRule="exact"/>
        <w:textAlignment w:val="auto"/>
        <w:rPr>
          <w:rFonts w:hint="eastAsia"/>
          <w:sz w:val="84"/>
          <w:szCs w:val="84"/>
        </w:rPr>
      </w:pPr>
    </w:p>
    <w:p>
      <w:pPr>
        <w:pStyle w:val="2"/>
        <w:rPr>
          <w:rFonts w:hint="eastAsia"/>
        </w:rPr>
      </w:pPr>
    </w:p>
    <w:p>
      <w:pPr>
        <w:pStyle w:val="15"/>
        <w:jc w:val="center"/>
        <w:rPr>
          <w:rFonts w:hint="eastAsia"/>
          <w:sz w:val="84"/>
          <w:szCs w:val="84"/>
        </w:rPr>
      </w:pPr>
    </w:p>
    <w:p>
      <w:pPr>
        <w:pStyle w:val="15"/>
        <w:jc w:val="center"/>
        <w:rPr>
          <w:rFonts w:hint="eastAsia"/>
          <w:sz w:val="84"/>
          <w:szCs w:val="84"/>
        </w:rPr>
      </w:pPr>
    </w:p>
    <w:p>
      <w:pPr>
        <w:pStyle w:val="15"/>
        <w:jc w:val="center"/>
        <w:rPr>
          <w:rFonts w:hint="eastAsia"/>
          <w:sz w:val="84"/>
          <w:szCs w:val="84"/>
        </w:rPr>
      </w:pPr>
    </w:p>
    <w:p>
      <w:pPr>
        <w:pStyle w:val="15"/>
        <w:jc w:val="center"/>
        <w:rPr>
          <w:rFonts w:hint="eastAsia"/>
          <w:sz w:val="84"/>
          <w:szCs w:val="84"/>
        </w:rPr>
      </w:pPr>
    </w:p>
    <w:p>
      <w:pPr>
        <w:pStyle w:val="15"/>
        <w:jc w:val="center"/>
        <w:rPr>
          <w:rFonts w:hint="eastAsia"/>
          <w:sz w:val="84"/>
          <w:szCs w:val="84"/>
        </w:rPr>
      </w:pPr>
    </w:p>
    <w:p>
      <w:pPr>
        <w:pStyle w:val="15"/>
        <w:jc w:val="center"/>
        <w:rPr>
          <w:rFonts w:hint="eastAsia"/>
          <w:sz w:val="84"/>
          <w:szCs w:val="84"/>
        </w:rPr>
      </w:pPr>
    </w:p>
    <w:p>
      <w:pPr>
        <w:pStyle w:val="15"/>
        <w:jc w:val="center"/>
        <w:rPr>
          <w:rFonts w:hint="eastAsia"/>
          <w:sz w:val="84"/>
          <w:szCs w:val="84"/>
        </w:rPr>
      </w:pPr>
    </w:p>
    <w:p>
      <w:pPr>
        <w:pStyle w:val="15"/>
        <w:jc w:val="center"/>
        <w:rPr>
          <w:sz w:val="84"/>
          <w:szCs w:val="84"/>
        </w:rPr>
      </w:pPr>
      <w:r>
        <w:rPr>
          <w:rFonts w:hint="eastAsia"/>
          <w:sz w:val="84"/>
          <w:szCs w:val="84"/>
          <w:lang w:val="en-US" w:eastAsia="zh-CN"/>
        </w:rPr>
        <w:t xml:space="preserve">                                                                                                                                                                                                                                                                                                                                                                                                                                                                                                                                                                                                                                                                                                                                                                                                                                                                                                                                                                                                                                                                                                                                                                                                                                                                                                                                                                                                                                                                                                                                                                                                                                                                                                                                                                                                                                                                                                                                                                                                                                                                                                                                                                                                                                                                                                                                                                                                                                                                                                                                                                                                                                                                                                                                                                                                                                                                                                                                                                                                                                                                                                                                                                                                                                                                                                                                                                                                                                                                                                                                                                                                                                                                                                                                                                                                                                                                                                                                                                                                                                                                                                                                                                                                                </w:t>
      </w:r>
      <w:r>
        <w:rPr>
          <w:rFonts w:hint="eastAsia"/>
          <w:sz w:val="84"/>
          <w:szCs w:val="84"/>
          <w:lang w:val="en-US" w:eastAsia="zh-CN"/>
        </w:rPr>
        <w:t xml:space="preserve">                                                                                                                                                                                                                                                                                                                                                                                                                                                                                                                                                                                                                                                                                                                                                                                                                                                                                                                                                                                                                                                                                                                                                                                                                                                                                                                                                                                                                                                                                                                                                                                                                                                                                                                                                                                                                                                                                                                                                                                                                                                                                                                                                                                                                                                                                                                                                                                                                                                                                                                                                                                                                                                                                                                                                                                                                                                                                                                                                                                                                                                                                                                                                                                                                                                                                                                                                                                                                                                                                                                                                                                                                                                                                                                                                    </w:t>
      </w:r>
      <w:r>
        <w:rPr>
          <w:rFonts w:hint="eastAsia"/>
          <w:sz w:val="84"/>
          <w:szCs w:val="84"/>
        </w:rPr>
        <w:t>第四部分</w:t>
      </w:r>
    </w:p>
    <w:p>
      <w:pPr>
        <w:jc w:val="center"/>
        <w:rPr>
          <w:rFonts w:ascii="黑体" w:eastAsia="黑体" w:cs="黑体"/>
          <w:color w:val="000000"/>
          <w:kern w:val="0"/>
          <w:sz w:val="84"/>
          <w:szCs w:val="84"/>
        </w:rPr>
      </w:pPr>
    </w:p>
    <w:p>
      <w:pPr>
        <w:jc w:val="center"/>
        <w:rPr>
          <w:rFonts w:ascii="黑体" w:eastAsia="黑体" w:cs="黑体"/>
          <w:color w:val="000000"/>
          <w:kern w:val="0"/>
          <w:sz w:val="70"/>
          <w:szCs w:val="70"/>
        </w:rPr>
      </w:pPr>
      <w:r>
        <w:rPr>
          <w:rFonts w:hint="eastAsia" w:ascii="黑体" w:eastAsia="黑体" w:cs="黑体"/>
          <w:color w:val="000000"/>
          <w:kern w:val="0"/>
          <w:sz w:val="84"/>
          <w:szCs w:val="84"/>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一、财政拨款收入指财政当年拨付的资金。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二、事业收入指事业单位开展专业业务活动及辅助活动所取得的收入。</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三、经营收入指事业单位在专业业务活动及其辅助活动之外开展非独立核算经营活动取得的收入。</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四、其他收入指除上述“财政拨款收入”，“事业收入”、“经营收入”等以外的收入。主要是利息收入等。</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六、年初结转和结余指以前年度尚未完成、结转到本年按有关规定继续使用的资金。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七、结余分配指事业单位按规定提取的职工福利基金、事业基金和缴纳的所得税。</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八、年末结转和结余指本年度或以前年度预算安排、因客观条件发生变化无法按原计划实施，需延迟到以后年度按有关规定继续使用的资金。</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九、基本支出指为保障机构正常运转、完成日常工作任务而发生的人员支出和公用支出。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十、项目支出指在基本支出之外为完成特定行政任务和事业发展目标所发生的支出。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十一、经营支出指事业单位在专业业务活动及其辅助活动之外开展非独立核算经营活动发生的支出。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hd w:val="clear" w:color="auto" w:fill="FFFFFF"/>
        <w:spacing w:line="560" w:lineRule="exact"/>
        <w:ind w:firstLine="64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5"/>
        <w:spacing w:line="560" w:lineRule="exact"/>
        <w:jc w:val="center"/>
        <w:rPr>
          <w:sz w:val="72"/>
          <w:szCs w:val="72"/>
        </w:rPr>
      </w:pPr>
    </w:p>
    <w:p>
      <w:pPr>
        <w:pStyle w:val="15"/>
        <w:spacing w:line="560" w:lineRule="exact"/>
        <w:jc w:val="center"/>
        <w:rPr>
          <w:sz w:val="72"/>
          <w:szCs w:val="72"/>
        </w:rPr>
      </w:pPr>
    </w:p>
    <w:p>
      <w:pPr>
        <w:pStyle w:val="15"/>
        <w:spacing w:line="560" w:lineRule="exact"/>
        <w:jc w:val="center"/>
        <w:rPr>
          <w:sz w:val="72"/>
          <w:szCs w:val="72"/>
        </w:rPr>
      </w:pPr>
    </w:p>
    <w:p>
      <w:pPr>
        <w:pStyle w:val="15"/>
        <w:jc w:val="center"/>
        <w:rPr>
          <w:sz w:val="72"/>
          <w:szCs w:val="72"/>
        </w:rPr>
      </w:pPr>
    </w:p>
    <w:p>
      <w:pPr>
        <w:pStyle w:val="15"/>
        <w:jc w:val="center"/>
        <w:rPr>
          <w:sz w:val="72"/>
          <w:szCs w:val="72"/>
        </w:rPr>
      </w:pPr>
    </w:p>
    <w:p>
      <w:pPr>
        <w:pStyle w:val="10"/>
        <w:widowControl/>
        <w:spacing w:beforeAutospacing="0" w:afterAutospacing="0" w:line="560" w:lineRule="exact"/>
        <w:jc w:val="both"/>
        <w:rPr>
          <w:rFonts w:cs="黑体" w:asciiTheme="minorEastAsia" w:hAnsiTheme="minorEastAsia"/>
          <w:sz w:val="32"/>
          <w:szCs w:val="32"/>
        </w:rPr>
      </w:pPr>
    </w:p>
    <w:sectPr>
      <w:pgSz w:w="11906" w:h="16838"/>
      <w:pgMar w:top="1803" w:right="1440" w:bottom="1803" w:left="1440" w:header="851" w:footer="992" w:gutter="0"/>
      <w:cols w:space="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13319"/>
    <w:multiLevelType w:val="singleLevel"/>
    <w:tmpl w:val="87013319"/>
    <w:lvl w:ilvl="0" w:tentative="0">
      <w:start w:val="1"/>
      <w:numFmt w:val="decimal"/>
      <w:suff w:val="nothing"/>
      <w:lvlText w:val="（%1）"/>
      <w:lvlJc w:val="left"/>
    </w:lvl>
  </w:abstractNum>
  <w:abstractNum w:abstractNumId="1">
    <w:nsid w:val="A06B55AF"/>
    <w:multiLevelType w:val="singleLevel"/>
    <w:tmpl w:val="A06B55AF"/>
    <w:lvl w:ilvl="0" w:tentative="0">
      <w:start w:val="1"/>
      <w:numFmt w:val="decimal"/>
      <w:suff w:val="nothing"/>
      <w:lvlText w:val="（%1）"/>
      <w:lvlJc w:val="left"/>
    </w:lvl>
  </w:abstractNum>
  <w:abstractNum w:abstractNumId="2">
    <w:nsid w:val="13054630"/>
    <w:multiLevelType w:val="singleLevel"/>
    <w:tmpl w:val="13054630"/>
    <w:lvl w:ilvl="0" w:tentative="0">
      <w:start w:val="5"/>
      <w:numFmt w:val="chineseCounting"/>
      <w:suff w:val="nothing"/>
      <w:lvlText w:val="%1、"/>
      <w:lvlJc w:val="left"/>
      <w:rPr>
        <w:rFonts w:hint="eastAsia"/>
      </w:rPr>
    </w:lvl>
  </w:abstractNum>
  <w:abstractNum w:abstractNumId="3">
    <w:nsid w:val="3CC949AB"/>
    <w:multiLevelType w:val="singleLevel"/>
    <w:tmpl w:val="3CC949AB"/>
    <w:lvl w:ilvl="0" w:tentative="0">
      <w:start w:val="13"/>
      <w:numFmt w:val="chineseCounting"/>
      <w:suff w:val="nothing"/>
      <w:lvlText w:val="%1、"/>
      <w:lvlJc w:val="left"/>
      <w:rPr>
        <w:rFonts w:hint="eastAsia"/>
      </w:rPr>
    </w:lvl>
  </w:abstractNum>
  <w:abstractNum w:abstractNumId="4">
    <w:nsid w:val="694402AB"/>
    <w:multiLevelType w:val="singleLevel"/>
    <w:tmpl w:val="694402AB"/>
    <w:lvl w:ilvl="0" w:tentative="0">
      <w:start w:val="7"/>
      <w:numFmt w:val="chineseCounting"/>
      <w:suff w:val="nothing"/>
      <w:lvlText w:val="%1、"/>
      <w:lvlJc w:val="left"/>
      <w:rPr>
        <w:rFonts w:hint="eastAsia"/>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1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YzY5NWYyMWVmODU4ZWM5OGM4ZjJkOThjMWJjZDIifQ=="/>
  </w:docVars>
  <w:rsids>
    <w:rsidRoot w:val="004506F9"/>
    <w:rsid w:val="0002229B"/>
    <w:rsid w:val="000273BD"/>
    <w:rsid w:val="00031053"/>
    <w:rsid w:val="000415B7"/>
    <w:rsid w:val="00041E3F"/>
    <w:rsid w:val="00046F19"/>
    <w:rsid w:val="00055DAA"/>
    <w:rsid w:val="00057D12"/>
    <w:rsid w:val="00061F7B"/>
    <w:rsid w:val="000658A3"/>
    <w:rsid w:val="00074155"/>
    <w:rsid w:val="000A3F69"/>
    <w:rsid w:val="00103957"/>
    <w:rsid w:val="00152C6D"/>
    <w:rsid w:val="00162D39"/>
    <w:rsid w:val="001678BD"/>
    <w:rsid w:val="001A67DB"/>
    <w:rsid w:val="001C3C29"/>
    <w:rsid w:val="001C4ECA"/>
    <w:rsid w:val="001D51E5"/>
    <w:rsid w:val="001E080D"/>
    <w:rsid w:val="001E53D0"/>
    <w:rsid w:val="001F0C3B"/>
    <w:rsid w:val="00202C82"/>
    <w:rsid w:val="00214427"/>
    <w:rsid w:val="00226CB7"/>
    <w:rsid w:val="00264552"/>
    <w:rsid w:val="00264EF9"/>
    <w:rsid w:val="00265724"/>
    <w:rsid w:val="0027426B"/>
    <w:rsid w:val="002D4782"/>
    <w:rsid w:val="002E0A30"/>
    <w:rsid w:val="003130C4"/>
    <w:rsid w:val="00316C4B"/>
    <w:rsid w:val="0032192B"/>
    <w:rsid w:val="003479BD"/>
    <w:rsid w:val="0037197D"/>
    <w:rsid w:val="003768D5"/>
    <w:rsid w:val="003B1C68"/>
    <w:rsid w:val="003C47E6"/>
    <w:rsid w:val="003C4FC2"/>
    <w:rsid w:val="00416E61"/>
    <w:rsid w:val="004260BF"/>
    <w:rsid w:val="0042790C"/>
    <w:rsid w:val="004506F9"/>
    <w:rsid w:val="004717A2"/>
    <w:rsid w:val="00473DF3"/>
    <w:rsid w:val="00487911"/>
    <w:rsid w:val="00491741"/>
    <w:rsid w:val="00500E5F"/>
    <w:rsid w:val="005122EF"/>
    <w:rsid w:val="0051441A"/>
    <w:rsid w:val="00517C33"/>
    <w:rsid w:val="00523644"/>
    <w:rsid w:val="0054069E"/>
    <w:rsid w:val="00544866"/>
    <w:rsid w:val="00554AFF"/>
    <w:rsid w:val="005767CC"/>
    <w:rsid w:val="00590D9F"/>
    <w:rsid w:val="00595D26"/>
    <w:rsid w:val="005A74E6"/>
    <w:rsid w:val="005B404E"/>
    <w:rsid w:val="005D1196"/>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4157"/>
    <w:rsid w:val="00727A53"/>
    <w:rsid w:val="00787B42"/>
    <w:rsid w:val="007C4539"/>
    <w:rsid w:val="007F3657"/>
    <w:rsid w:val="00812ED5"/>
    <w:rsid w:val="008277D9"/>
    <w:rsid w:val="0084478C"/>
    <w:rsid w:val="0086638C"/>
    <w:rsid w:val="008A3E8D"/>
    <w:rsid w:val="008F15C2"/>
    <w:rsid w:val="009237C4"/>
    <w:rsid w:val="0092597D"/>
    <w:rsid w:val="009377EB"/>
    <w:rsid w:val="00944C48"/>
    <w:rsid w:val="00950252"/>
    <w:rsid w:val="00967F5D"/>
    <w:rsid w:val="009A0F95"/>
    <w:rsid w:val="009A39F2"/>
    <w:rsid w:val="009B3ADF"/>
    <w:rsid w:val="009C3B52"/>
    <w:rsid w:val="009E6817"/>
    <w:rsid w:val="009E6E9A"/>
    <w:rsid w:val="00A01D2B"/>
    <w:rsid w:val="00A1267F"/>
    <w:rsid w:val="00A42218"/>
    <w:rsid w:val="00A70249"/>
    <w:rsid w:val="00A70B02"/>
    <w:rsid w:val="00A71D9F"/>
    <w:rsid w:val="00A92E9F"/>
    <w:rsid w:val="00AC21C7"/>
    <w:rsid w:val="00B33BEA"/>
    <w:rsid w:val="00B445D8"/>
    <w:rsid w:val="00B57C9F"/>
    <w:rsid w:val="00B63572"/>
    <w:rsid w:val="00B845B3"/>
    <w:rsid w:val="00B85D8B"/>
    <w:rsid w:val="00BB4A40"/>
    <w:rsid w:val="00BC7A09"/>
    <w:rsid w:val="00BD6C3E"/>
    <w:rsid w:val="00BE3674"/>
    <w:rsid w:val="00C10681"/>
    <w:rsid w:val="00C24C53"/>
    <w:rsid w:val="00C3049A"/>
    <w:rsid w:val="00C31B1E"/>
    <w:rsid w:val="00C40501"/>
    <w:rsid w:val="00C77645"/>
    <w:rsid w:val="00CE04C3"/>
    <w:rsid w:val="00CE3B4B"/>
    <w:rsid w:val="00CE59E4"/>
    <w:rsid w:val="00CE76A0"/>
    <w:rsid w:val="00D148C6"/>
    <w:rsid w:val="00D17A8A"/>
    <w:rsid w:val="00D415BA"/>
    <w:rsid w:val="00D644EE"/>
    <w:rsid w:val="00DD06FF"/>
    <w:rsid w:val="00DD5FE9"/>
    <w:rsid w:val="00DF2DBF"/>
    <w:rsid w:val="00E00C7A"/>
    <w:rsid w:val="00E37CDD"/>
    <w:rsid w:val="00E37D6C"/>
    <w:rsid w:val="00E55B68"/>
    <w:rsid w:val="00E67BE6"/>
    <w:rsid w:val="00E8683C"/>
    <w:rsid w:val="00EA2B72"/>
    <w:rsid w:val="00F74360"/>
    <w:rsid w:val="00FB462F"/>
    <w:rsid w:val="00FE16FA"/>
    <w:rsid w:val="00FE328A"/>
    <w:rsid w:val="00FE6269"/>
    <w:rsid w:val="00FF5CD6"/>
    <w:rsid w:val="01621C3F"/>
    <w:rsid w:val="01A81D19"/>
    <w:rsid w:val="01B637A9"/>
    <w:rsid w:val="02092B67"/>
    <w:rsid w:val="0241242E"/>
    <w:rsid w:val="03666696"/>
    <w:rsid w:val="047B6719"/>
    <w:rsid w:val="04E41222"/>
    <w:rsid w:val="050B5235"/>
    <w:rsid w:val="05607D22"/>
    <w:rsid w:val="061F682A"/>
    <w:rsid w:val="091A08FB"/>
    <w:rsid w:val="095B2DE3"/>
    <w:rsid w:val="09DD692C"/>
    <w:rsid w:val="0ACA0AF7"/>
    <w:rsid w:val="0AD53239"/>
    <w:rsid w:val="0B0B31E2"/>
    <w:rsid w:val="0B882E7B"/>
    <w:rsid w:val="0BE60AB2"/>
    <w:rsid w:val="0C35112A"/>
    <w:rsid w:val="0DEF3128"/>
    <w:rsid w:val="0DF436F3"/>
    <w:rsid w:val="0E447DDD"/>
    <w:rsid w:val="0ECC039F"/>
    <w:rsid w:val="0FF63609"/>
    <w:rsid w:val="129F73DE"/>
    <w:rsid w:val="13BB0C8A"/>
    <w:rsid w:val="13C40A13"/>
    <w:rsid w:val="13F8001C"/>
    <w:rsid w:val="149847F0"/>
    <w:rsid w:val="15F76AF0"/>
    <w:rsid w:val="16486048"/>
    <w:rsid w:val="17D20772"/>
    <w:rsid w:val="17FB4B42"/>
    <w:rsid w:val="183931A4"/>
    <w:rsid w:val="186B03C7"/>
    <w:rsid w:val="19515E9E"/>
    <w:rsid w:val="19D92F9F"/>
    <w:rsid w:val="1A824A9A"/>
    <w:rsid w:val="1AA66595"/>
    <w:rsid w:val="1AE060CA"/>
    <w:rsid w:val="1B097409"/>
    <w:rsid w:val="1B7E20FB"/>
    <w:rsid w:val="1BFA2029"/>
    <w:rsid w:val="1C312A88"/>
    <w:rsid w:val="1D266050"/>
    <w:rsid w:val="1E3019C4"/>
    <w:rsid w:val="1E5361D5"/>
    <w:rsid w:val="1EF23EF1"/>
    <w:rsid w:val="1F247493"/>
    <w:rsid w:val="1F96482F"/>
    <w:rsid w:val="1FBD4866"/>
    <w:rsid w:val="1FD97620"/>
    <w:rsid w:val="22081ABC"/>
    <w:rsid w:val="229760F8"/>
    <w:rsid w:val="25B73490"/>
    <w:rsid w:val="25E5566B"/>
    <w:rsid w:val="267FDBAD"/>
    <w:rsid w:val="26F26323"/>
    <w:rsid w:val="27A54F1D"/>
    <w:rsid w:val="28E76593"/>
    <w:rsid w:val="29636C3B"/>
    <w:rsid w:val="2A884B0C"/>
    <w:rsid w:val="2AE10F47"/>
    <w:rsid w:val="2B0F70BE"/>
    <w:rsid w:val="2B7107F3"/>
    <w:rsid w:val="2C6775EE"/>
    <w:rsid w:val="2C8E05FF"/>
    <w:rsid w:val="2D483DC1"/>
    <w:rsid w:val="2D7F4770"/>
    <w:rsid w:val="2DAE5947"/>
    <w:rsid w:val="2E02303A"/>
    <w:rsid w:val="2EB8596B"/>
    <w:rsid w:val="2ED85A27"/>
    <w:rsid w:val="2F9078C9"/>
    <w:rsid w:val="2FAD424A"/>
    <w:rsid w:val="30294C71"/>
    <w:rsid w:val="31B773D7"/>
    <w:rsid w:val="31E06CA4"/>
    <w:rsid w:val="334B7DBB"/>
    <w:rsid w:val="35A5377E"/>
    <w:rsid w:val="365E8809"/>
    <w:rsid w:val="36981915"/>
    <w:rsid w:val="372B233E"/>
    <w:rsid w:val="373E25D1"/>
    <w:rsid w:val="38AE0AF6"/>
    <w:rsid w:val="38B15CE5"/>
    <w:rsid w:val="3916054A"/>
    <w:rsid w:val="39406182"/>
    <w:rsid w:val="39523F08"/>
    <w:rsid w:val="39664611"/>
    <w:rsid w:val="39911727"/>
    <w:rsid w:val="3A5B3021"/>
    <w:rsid w:val="3AA137DD"/>
    <w:rsid w:val="3ABB1AE4"/>
    <w:rsid w:val="3AE3337B"/>
    <w:rsid w:val="3AEB7E4C"/>
    <w:rsid w:val="3BF77E1E"/>
    <w:rsid w:val="3BFDFBF8"/>
    <w:rsid w:val="3C9D7B54"/>
    <w:rsid w:val="3D5D32F1"/>
    <w:rsid w:val="3DD83339"/>
    <w:rsid w:val="3DD90E8A"/>
    <w:rsid w:val="3EA81401"/>
    <w:rsid w:val="3F0B2C94"/>
    <w:rsid w:val="3F8C2ECE"/>
    <w:rsid w:val="3F947A04"/>
    <w:rsid w:val="3F9E2F24"/>
    <w:rsid w:val="4133703E"/>
    <w:rsid w:val="43D16EBB"/>
    <w:rsid w:val="44641F5D"/>
    <w:rsid w:val="44F31B28"/>
    <w:rsid w:val="457C2A93"/>
    <w:rsid w:val="47344096"/>
    <w:rsid w:val="47E5190A"/>
    <w:rsid w:val="481A5328"/>
    <w:rsid w:val="49346B55"/>
    <w:rsid w:val="49D21A55"/>
    <w:rsid w:val="4BE019A4"/>
    <w:rsid w:val="4DB83185"/>
    <w:rsid w:val="4F2F2E26"/>
    <w:rsid w:val="4FEE46F7"/>
    <w:rsid w:val="50AC0CB2"/>
    <w:rsid w:val="514F6805"/>
    <w:rsid w:val="516E6C2E"/>
    <w:rsid w:val="51791EEB"/>
    <w:rsid w:val="51AB25A6"/>
    <w:rsid w:val="51BBF43D"/>
    <w:rsid w:val="522A0552"/>
    <w:rsid w:val="52543C09"/>
    <w:rsid w:val="52A81227"/>
    <w:rsid w:val="541412BB"/>
    <w:rsid w:val="54144105"/>
    <w:rsid w:val="559B6E33"/>
    <w:rsid w:val="55B71606"/>
    <w:rsid w:val="55D363A9"/>
    <w:rsid w:val="568D48D7"/>
    <w:rsid w:val="56C769DA"/>
    <w:rsid w:val="583C4409"/>
    <w:rsid w:val="588128AB"/>
    <w:rsid w:val="596C5F7C"/>
    <w:rsid w:val="59D4551C"/>
    <w:rsid w:val="5A320AD5"/>
    <w:rsid w:val="5A9C4E4D"/>
    <w:rsid w:val="5C142812"/>
    <w:rsid w:val="5CAB38A1"/>
    <w:rsid w:val="5D231285"/>
    <w:rsid w:val="5DD15DE6"/>
    <w:rsid w:val="5E0E3233"/>
    <w:rsid w:val="5FB97873"/>
    <w:rsid w:val="600B4656"/>
    <w:rsid w:val="6114198D"/>
    <w:rsid w:val="623D05D2"/>
    <w:rsid w:val="636149EF"/>
    <w:rsid w:val="63F17250"/>
    <w:rsid w:val="648805A4"/>
    <w:rsid w:val="64F87D84"/>
    <w:rsid w:val="65615B63"/>
    <w:rsid w:val="65A0347E"/>
    <w:rsid w:val="65CE5734"/>
    <w:rsid w:val="666D49AD"/>
    <w:rsid w:val="667B0788"/>
    <w:rsid w:val="66E45EA7"/>
    <w:rsid w:val="67B83180"/>
    <w:rsid w:val="67CC0CEB"/>
    <w:rsid w:val="685D176F"/>
    <w:rsid w:val="68B66D67"/>
    <w:rsid w:val="6A0A72D3"/>
    <w:rsid w:val="6B17107E"/>
    <w:rsid w:val="6B1F4868"/>
    <w:rsid w:val="6B776D8D"/>
    <w:rsid w:val="6C141027"/>
    <w:rsid w:val="6CD81D64"/>
    <w:rsid w:val="6D303511"/>
    <w:rsid w:val="6D6A3232"/>
    <w:rsid w:val="6D6A4A1E"/>
    <w:rsid w:val="6DBA3175"/>
    <w:rsid w:val="6EBB0487"/>
    <w:rsid w:val="6F7E75FF"/>
    <w:rsid w:val="6FFE6365"/>
    <w:rsid w:val="70117A67"/>
    <w:rsid w:val="71A128C0"/>
    <w:rsid w:val="71C84EF5"/>
    <w:rsid w:val="728E34DE"/>
    <w:rsid w:val="730F51AB"/>
    <w:rsid w:val="73550BCF"/>
    <w:rsid w:val="73B24C9A"/>
    <w:rsid w:val="749A736C"/>
    <w:rsid w:val="7571317C"/>
    <w:rsid w:val="75CA0DE4"/>
    <w:rsid w:val="7616000E"/>
    <w:rsid w:val="76D87530"/>
    <w:rsid w:val="77A758FA"/>
    <w:rsid w:val="783C196F"/>
    <w:rsid w:val="79E543F0"/>
    <w:rsid w:val="7AB83199"/>
    <w:rsid w:val="7BB74C3F"/>
    <w:rsid w:val="7BCF1B31"/>
    <w:rsid w:val="7C094137"/>
    <w:rsid w:val="7CA9621A"/>
    <w:rsid w:val="7D5A366C"/>
    <w:rsid w:val="7D5C42D9"/>
    <w:rsid w:val="7D840164"/>
    <w:rsid w:val="7E2D6451"/>
    <w:rsid w:val="7E616AC8"/>
    <w:rsid w:val="7EBEFC33"/>
    <w:rsid w:val="7EF92AAB"/>
    <w:rsid w:val="7F0E4EEC"/>
    <w:rsid w:val="7FAF3222"/>
    <w:rsid w:val="7FEEB55C"/>
    <w:rsid w:val="7FF7A8A3"/>
    <w:rsid w:val="BCBA4551"/>
    <w:rsid w:val="CFF51B6D"/>
    <w:rsid w:val="DDFE6BAE"/>
    <w:rsid w:val="E3BD47AF"/>
    <w:rsid w:val="EB3EB73F"/>
    <w:rsid w:val="EFB7828B"/>
    <w:rsid w:val="EFBB63D0"/>
    <w:rsid w:val="F19796F6"/>
    <w:rsid w:val="F6B35B2D"/>
    <w:rsid w:val="FBF5C627"/>
    <w:rsid w:val="FDAE7B37"/>
    <w:rsid w:val="FEF55D35"/>
    <w:rsid w:val="FFA77405"/>
    <w:rsid w:val="FFEF7B8E"/>
    <w:rsid w:val="FFFB4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unhideWhenUsed/>
    <w:qFormat/>
    <w:uiPriority w:val="0"/>
    <w:pPr>
      <w:keepNext/>
      <w:keepLines/>
      <w:spacing w:line="416" w:lineRule="auto"/>
      <w:outlineLvl w:val="1"/>
    </w:pPr>
    <w:rPr>
      <w:rFonts w:ascii="Calibri Light" w:hAnsi="Calibri Light" w:eastAsia="宋体" w:cs="Calibri Light"/>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样式 文字 + 首行缩进:  2 字符3"/>
    <w:basedOn w:val="1"/>
    <w:qFormat/>
    <w:uiPriority w:val="0"/>
    <w:pPr>
      <w:spacing w:line="360" w:lineRule="auto"/>
    </w:pPr>
    <w:rPr>
      <w:sz w:val="28"/>
      <w:szCs w:val="28"/>
    </w:rPr>
  </w:style>
  <w:style w:type="paragraph" w:styleId="4">
    <w:name w:val="Body Text"/>
    <w:basedOn w:val="1"/>
    <w:next w:val="5"/>
    <w:semiHidden/>
    <w:unhideWhenUsed/>
    <w:qFormat/>
    <w:uiPriority w:val="99"/>
    <w:pPr>
      <w:autoSpaceDE w:val="0"/>
      <w:autoSpaceDN w:val="0"/>
      <w:jc w:val="left"/>
    </w:pPr>
    <w:rPr>
      <w:rFonts w:ascii="仿宋_GB2312" w:eastAsia="仿宋_GB2312" w:cs="Times New Roman"/>
      <w:kern w:val="0"/>
      <w:sz w:val="32"/>
      <w:szCs w:val="32"/>
    </w:rPr>
  </w:style>
  <w:style w:type="paragraph" w:styleId="5">
    <w:name w:val="toc 5"/>
    <w:basedOn w:val="1"/>
    <w:next w:val="1"/>
    <w:qFormat/>
    <w:uiPriority w:val="0"/>
    <w:pPr>
      <w:widowControl w:val="0"/>
      <w:adjustRightInd w:val="0"/>
      <w:snapToGrid w:val="0"/>
      <w:spacing w:line="560" w:lineRule="exact"/>
      <w:ind w:left="1680" w:leftChars="800" w:firstLine="640" w:firstLineChars="200"/>
      <w:jc w:val="both"/>
    </w:pPr>
    <w:rPr>
      <w:rFonts w:ascii="等线" w:hAnsi="等线" w:eastAsia="等线" w:cs="Times New Roman"/>
      <w:kern w:val="2"/>
      <w:sz w:val="32"/>
      <w:szCs w:val="22"/>
      <w:lang w:val="en-US" w:eastAsia="zh-CN" w:bidi="ar-SA"/>
    </w:r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31"/>
    <w:basedOn w:val="12"/>
    <w:qFormat/>
    <w:uiPriority w:val="0"/>
    <w:rPr>
      <w:rFonts w:hint="default" w:ascii="Arial" w:hAnsi="Arial" w:cs="Arial"/>
      <w:color w:val="000000"/>
      <w:sz w:val="20"/>
      <w:szCs w:val="20"/>
      <w:u w:val="none"/>
    </w:rPr>
  </w:style>
  <w:style w:type="paragraph" w:customStyle="1" w:styleId="19">
    <w:name w:val="_Style 3"/>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32</Pages>
  <Words>9760</Words>
  <Characters>14399</Characters>
  <Lines>186</Lines>
  <Paragraphs>52</Paragraphs>
  <TotalTime>160</TotalTime>
  <ScaleCrop>false</ScaleCrop>
  <LinksUpToDate>false</LinksUpToDate>
  <CharactersWithSpaces>15644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2020-07-03T10:32:00Z</dcterms:created>
  <dc:creator>李航 null</dc:creator>
  <cp:lastModifiedBy>CSC</cp:lastModifiedBy>
  <cp:lastPrinted>2022-09-13T03:32:00Z</cp:lastPrinted>
  <dcterms:modified xsi:type="dcterms:W3CDTF">2023-09-28T09:38:25Z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A447C84CCB9B44689E2758D017422EF0</vt:lpwstr>
  </property>
</Properties>
</file>